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8D1" w14:textId="70E817F3" w:rsidR="00E41979" w:rsidRPr="00B012AB" w:rsidRDefault="007A1BD4" w:rsidP="00196C23">
      <w:pPr>
        <w:ind w:left="851" w:right="-173" w:hanging="851"/>
        <w:jc w:val="right"/>
        <w:rPr>
          <w:rFonts w:asciiTheme="minorHAnsi" w:hAnsiTheme="minorHAnsi" w:cstheme="minorHAnsi"/>
          <w:b/>
        </w:rPr>
      </w:pPr>
      <w:r w:rsidRPr="00B012AB">
        <w:rPr>
          <w:rFonts w:asciiTheme="minorHAnsi" w:hAnsiTheme="minorHAnsi" w:cstheme="minorHAnsi"/>
          <w:noProof/>
        </w:rPr>
        <w:drawing>
          <wp:inline distT="0" distB="0" distL="0" distR="0" wp14:anchorId="73896EAB" wp14:editId="4701A1E0">
            <wp:extent cx="2203525" cy="794776"/>
            <wp:effectExtent l="0" t="0" r="6350" b="5715"/>
            <wp:docPr id="36" name="Picture 3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58" cy="8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A78E" w14:textId="23CE18A0" w:rsidR="00E41979" w:rsidRPr="00B012AB" w:rsidRDefault="000F3BDB" w:rsidP="00E41979">
      <w:pPr>
        <w:ind w:left="851" w:right="-173" w:hanging="851"/>
        <w:rPr>
          <w:rFonts w:asciiTheme="minorHAnsi" w:hAnsiTheme="minorHAnsi" w:cstheme="minorHAnsi"/>
          <w:bCs/>
          <w:sz w:val="44"/>
          <w:szCs w:val="44"/>
        </w:rPr>
      </w:pPr>
      <w:r w:rsidRPr="00B012AB">
        <w:rPr>
          <w:rFonts w:asciiTheme="minorHAnsi" w:hAnsiTheme="minorHAnsi" w:cstheme="minorHAnsi"/>
          <w:bCs/>
          <w:sz w:val="44"/>
          <w:szCs w:val="44"/>
        </w:rPr>
        <w:t>20</w:t>
      </w:r>
      <w:r w:rsidR="0088244B" w:rsidRPr="00B012AB">
        <w:rPr>
          <w:rFonts w:asciiTheme="minorHAnsi" w:hAnsiTheme="minorHAnsi" w:cstheme="minorHAnsi"/>
          <w:bCs/>
          <w:sz w:val="44"/>
          <w:szCs w:val="44"/>
        </w:rPr>
        <w:t>2</w:t>
      </w:r>
      <w:r w:rsidR="00293346" w:rsidRPr="00B012AB">
        <w:rPr>
          <w:rFonts w:asciiTheme="minorHAnsi" w:hAnsiTheme="minorHAnsi" w:cstheme="minorHAnsi"/>
          <w:bCs/>
          <w:sz w:val="44"/>
          <w:szCs w:val="44"/>
        </w:rPr>
        <w:t>3</w:t>
      </w:r>
      <w:r w:rsidRPr="00B012AB"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="00642562" w:rsidRPr="00B012AB">
        <w:rPr>
          <w:rFonts w:asciiTheme="minorHAnsi" w:hAnsiTheme="minorHAnsi" w:cstheme="minorHAnsi"/>
          <w:bCs/>
          <w:sz w:val="44"/>
          <w:szCs w:val="44"/>
        </w:rPr>
        <w:t>e</w:t>
      </w:r>
      <w:r w:rsidR="00E41979" w:rsidRPr="00B012AB">
        <w:rPr>
          <w:rFonts w:asciiTheme="minorHAnsi" w:hAnsiTheme="minorHAnsi" w:cstheme="minorHAnsi"/>
          <w:bCs/>
          <w:sz w:val="44"/>
          <w:szCs w:val="44"/>
        </w:rPr>
        <w:t xml:space="preserve">ditorial </w:t>
      </w:r>
      <w:r w:rsidR="00642562" w:rsidRPr="00B012AB">
        <w:rPr>
          <w:rFonts w:asciiTheme="minorHAnsi" w:hAnsiTheme="minorHAnsi" w:cstheme="minorHAnsi"/>
          <w:bCs/>
          <w:sz w:val="44"/>
          <w:szCs w:val="44"/>
        </w:rPr>
        <w:t>h</w:t>
      </w:r>
      <w:r w:rsidR="00E41979" w:rsidRPr="00B012AB">
        <w:rPr>
          <w:rFonts w:asciiTheme="minorHAnsi" w:hAnsiTheme="minorHAnsi" w:cstheme="minorHAnsi"/>
          <w:bCs/>
          <w:sz w:val="44"/>
          <w:szCs w:val="44"/>
        </w:rPr>
        <w:t>ighlights</w:t>
      </w:r>
    </w:p>
    <w:p w14:paraId="42457A46" w14:textId="24F8433A" w:rsidR="009B7895" w:rsidRPr="00B012AB" w:rsidRDefault="00E41979" w:rsidP="00E41979">
      <w:pPr>
        <w:ind w:right="-173"/>
        <w:rPr>
          <w:rFonts w:asciiTheme="minorHAnsi" w:hAnsiTheme="minorHAnsi" w:cstheme="minorHAnsi"/>
          <w:b/>
        </w:rPr>
      </w:pPr>
      <w:r w:rsidRPr="00B012AB">
        <w:rPr>
          <w:rFonts w:asciiTheme="minorHAnsi" w:hAnsiTheme="minorHAnsi" w:cstheme="minorHAnsi"/>
        </w:rPr>
        <w:t>Digital transformation</w:t>
      </w:r>
      <w:r w:rsidR="00B012AB">
        <w:rPr>
          <w:rFonts w:asciiTheme="minorHAnsi" w:hAnsiTheme="minorHAnsi" w:cstheme="minorHAnsi"/>
        </w:rPr>
        <w:t xml:space="preserve"> remain</w:t>
      </w:r>
      <w:r w:rsidR="007B5A96" w:rsidRPr="00B012AB">
        <w:rPr>
          <w:rFonts w:asciiTheme="minorHAnsi" w:hAnsiTheme="minorHAnsi" w:cstheme="minorHAnsi"/>
        </w:rPr>
        <w:t>s</w:t>
      </w:r>
      <w:r w:rsidR="00642562" w:rsidRPr="00B012AB">
        <w:rPr>
          <w:rFonts w:asciiTheme="minorHAnsi" w:hAnsiTheme="minorHAnsi" w:cstheme="minorHAnsi"/>
        </w:rPr>
        <w:t xml:space="preserve"> at the </w:t>
      </w:r>
      <w:r w:rsidR="00B012AB">
        <w:rPr>
          <w:rFonts w:asciiTheme="minorHAnsi" w:hAnsiTheme="minorHAnsi" w:cstheme="minorHAnsi"/>
        </w:rPr>
        <w:t xml:space="preserve">heart </w:t>
      </w:r>
      <w:r w:rsidR="00642562" w:rsidRPr="00B012AB">
        <w:rPr>
          <w:rFonts w:asciiTheme="minorHAnsi" w:hAnsiTheme="minorHAnsi" w:cstheme="minorHAnsi"/>
        </w:rPr>
        <w:t>of commercial and public sector activity and</w:t>
      </w:r>
      <w:r w:rsidRPr="00B012AB">
        <w:rPr>
          <w:rFonts w:asciiTheme="minorHAnsi" w:hAnsiTheme="minorHAnsi" w:cstheme="minorHAnsi"/>
        </w:rPr>
        <w:t xml:space="preserve"> </w:t>
      </w:r>
      <w:r w:rsidR="00A4400E" w:rsidRPr="00B012AB">
        <w:rPr>
          <w:rFonts w:asciiTheme="minorHAnsi" w:hAnsiTheme="minorHAnsi" w:cstheme="minorHAnsi"/>
        </w:rPr>
        <w:t xml:space="preserve">will </w:t>
      </w:r>
      <w:r w:rsidRPr="00B012AB">
        <w:rPr>
          <w:rFonts w:asciiTheme="minorHAnsi" w:hAnsiTheme="minorHAnsi" w:cstheme="minorHAnsi"/>
        </w:rPr>
        <w:t xml:space="preserve">continue to be the </w:t>
      </w:r>
      <w:r w:rsidR="00642562" w:rsidRPr="00B012AB">
        <w:rPr>
          <w:rFonts w:asciiTheme="minorHAnsi" w:hAnsiTheme="minorHAnsi" w:cstheme="minorHAnsi"/>
        </w:rPr>
        <w:t xml:space="preserve">primary driver </w:t>
      </w:r>
      <w:r w:rsidR="009A78A8" w:rsidRPr="00B012AB">
        <w:rPr>
          <w:rFonts w:asciiTheme="minorHAnsi" w:hAnsiTheme="minorHAnsi" w:cstheme="minorHAnsi"/>
        </w:rPr>
        <w:t xml:space="preserve">for </w:t>
      </w:r>
      <w:r w:rsidRPr="00B012AB">
        <w:rPr>
          <w:rFonts w:asciiTheme="minorHAnsi" w:hAnsiTheme="minorHAnsi" w:cstheme="minorHAnsi"/>
        </w:rPr>
        <w:t xml:space="preserve">Microsoft’s </w:t>
      </w:r>
      <w:r w:rsidR="00642562" w:rsidRPr="00B012AB">
        <w:rPr>
          <w:rFonts w:asciiTheme="minorHAnsi" w:hAnsiTheme="minorHAnsi" w:cstheme="minorHAnsi"/>
        </w:rPr>
        <w:t xml:space="preserve">industry </w:t>
      </w:r>
      <w:r w:rsidRPr="00B012AB">
        <w:rPr>
          <w:rFonts w:asciiTheme="minorHAnsi" w:hAnsiTheme="minorHAnsi" w:cstheme="minorHAnsi"/>
        </w:rPr>
        <w:t>strateg</w:t>
      </w:r>
      <w:r w:rsidR="00642562" w:rsidRPr="00B012AB">
        <w:rPr>
          <w:rFonts w:asciiTheme="minorHAnsi" w:hAnsiTheme="minorHAnsi" w:cstheme="minorHAnsi"/>
        </w:rPr>
        <w:t>ies</w:t>
      </w:r>
      <w:r w:rsidR="00A4400E" w:rsidRPr="00B012AB">
        <w:rPr>
          <w:rFonts w:asciiTheme="minorHAnsi" w:hAnsiTheme="minorHAnsi" w:cstheme="minorHAnsi"/>
        </w:rPr>
        <w:t xml:space="preserve"> throughout the year</w:t>
      </w:r>
      <w:r w:rsidR="00642562" w:rsidRPr="00B012AB">
        <w:rPr>
          <w:rFonts w:asciiTheme="minorHAnsi" w:hAnsiTheme="minorHAnsi" w:cstheme="minorHAnsi"/>
        </w:rPr>
        <w:t>.</w:t>
      </w:r>
      <w:r w:rsidR="00A4400E" w:rsidRPr="00B012AB">
        <w:rPr>
          <w:rFonts w:asciiTheme="minorHAnsi" w:hAnsiTheme="minorHAnsi" w:cstheme="minorHAnsi"/>
        </w:rPr>
        <w:t xml:space="preserve"> </w:t>
      </w:r>
      <w:r w:rsidR="00642562" w:rsidRPr="00B012AB">
        <w:rPr>
          <w:rFonts w:asciiTheme="minorHAnsi" w:hAnsiTheme="minorHAnsi" w:cstheme="minorHAnsi"/>
        </w:rPr>
        <w:t>A</w:t>
      </w:r>
      <w:r w:rsidRPr="00B012AB">
        <w:rPr>
          <w:rFonts w:asciiTheme="minorHAnsi" w:hAnsiTheme="minorHAnsi" w:cstheme="minorHAnsi"/>
        </w:rPr>
        <w:t>cross</w:t>
      </w:r>
      <w:r w:rsidR="009A78A8" w:rsidRPr="00B012AB">
        <w:rPr>
          <w:rFonts w:asciiTheme="minorHAnsi" w:hAnsiTheme="minorHAnsi" w:cstheme="minorHAnsi"/>
        </w:rPr>
        <w:t xml:space="preserve"> </w:t>
      </w:r>
      <w:r w:rsidR="00B012AB">
        <w:rPr>
          <w:rFonts w:asciiTheme="minorHAnsi" w:hAnsiTheme="minorHAnsi" w:cstheme="minorHAnsi"/>
        </w:rPr>
        <w:t xml:space="preserve">all </w:t>
      </w:r>
      <w:r w:rsidRPr="00B012AB">
        <w:rPr>
          <w:rFonts w:asciiTheme="minorHAnsi" w:hAnsiTheme="minorHAnsi" w:cstheme="minorHAnsi"/>
        </w:rPr>
        <w:t xml:space="preserve">four issues </w:t>
      </w:r>
      <w:r w:rsidR="004E3C5D" w:rsidRPr="00B012AB">
        <w:rPr>
          <w:rFonts w:asciiTheme="minorHAnsi" w:hAnsiTheme="minorHAnsi" w:cstheme="minorHAnsi"/>
        </w:rPr>
        <w:t xml:space="preserve">of </w:t>
      </w:r>
      <w:r w:rsidR="004E3C5D" w:rsidRPr="00B012AB">
        <w:rPr>
          <w:rFonts w:asciiTheme="minorHAnsi" w:hAnsiTheme="minorHAnsi" w:cstheme="minorHAnsi"/>
          <w:i/>
        </w:rPr>
        <w:t>Te</w:t>
      </w:r>
      <w:r w:rsidR="00C70725" w:rsidRPr="00B012AB">
        <w:rPr>
          <w:rFonts w:asciiTheme="minorHAnsi" w:hAnsiTheme="minorHAnsi" w:cstheme="minorHAnsi"/>
          <w:i/>
        </w:rPr>
        <w:t>chnology</w:t>
      </w:r>
      <w:r w:rsidR="004E3C5D" w:rsidRPr="00B012AB">
        <w:rPr>
          <w:rFonts w:asciiTheme="minorHAnsi" w:hAnsiTheme="minorHAnsi" w:cstheme="minorHAnsi"/>
          <w:i/>
        </w:rPr>
        <w:t xml:space="preserve"> Record</w:t>
      </w:r>
      <w:r w:rsidR="004E3C5D" w:rsidRPr="00B012AB">
        <w:rPr>
          <w:rFonts w:asciiTheme="minorHAnsi" w:hAnsiTheme="minorHAnsi" w:cstheme="minorHAnsi"/>
        </w:rPr>
        <w:t xml:space="preserve"> </w:t>
      </w:r>
      <w:r w:rsidR="00642562" w:rsidRPr="00B012AB">
        <w:rPr>
          <w:rFonts w:asciiTheme="minorHAnsi" w:hAnsiTheme="minorHAnsi" w:cstheme="minorHAnsi"/>
        </w:rPr>
        <w:t>in 202</w:t>
      </w:r>
      <w:r w:rsidR="009A78A8" w:rsidRPr="00B012AB">
        <w:rPr>
          <w:rFonts w:asciiTheme="minorHAnsi" w:hAnsiTheme="minorHAnsi" w:cstheme="minorHAnsi"/>
        </w:rPr>
        <w:t>3</w:t>
      </w:r>
      <w:r w:rsidR="00642562" w:rsidRPr="00B012AB">
        <w:rPr>
          <w:rFonts w:asciiTheme="minorHAnsi" w:hAnsiTheme="minorHAnsi" w:cstheme="minorHAnsi"/>
        </w:rPr>
        <w:t xml:space="preserve"> and </w:t>
      </w:r>
      <w:r w:rsidR="009A78A8" w:rsidRPr="00B012AB">
        <w:rPr>
          <w:rFonts w:asciiTheme="minorHAnsi" w:hAnsiTheme="minorHAnsi" w:cstheme="minorHAnsi"/>
        </w:rPr>
        <w:t>th</w:t>
      </w:r>
      <w:r w:rsidR="00642562" w:rsidRPr="00B012AB">
        <w:rPr>
          <w:rFonts w:asciiTheme="minorHAnsi" w:hAnsiTheme="minorHAnsi" w:cstheme="minorHAnsi"/>
        </w:rPr>
        <w:t xml:space="preserve">e </w:t>
      </w:r>
      <w:r w:rsidR="00B012AB">
        <w:rPr>
          <w:rFonts w:asciiTheme="minorHAnsi" w:hAnsiTheme="minorHAnsi" w:cstheme="minorHAnsi"/>
        </w:rPr>
        <w:t xml:space="preserve">wide range of </w:t>
      </w:r>
      <w:r w:rsidR="00642562" w:rsidRPr="00B012AB">
        <w:rPr>
          <w:rFonts w:asciiTheme="minorHAnsi" w:hAnsiTheme="minorHAnsi" w:cstheme="minorHAnsi"/>
        </w:rPr>
        <w:t>online content</w:t>
      </w:r>
      <w:r w:rsidR="009A78A8" w:rsidRPr="00B012AB">
        <w:rPr>
          <w:rFonts w:asciiTheme="minorHAnsi" w:hAnsiTheme="minorHAnsi" w:cstheme="minorHAnsi"/>
        </w:rPr>
        <w:t xml:space="preserve"> which</w:t>
      </w:r>
      <w:r w:rsidR="00642562" w:rsidRPr="00B012AB">
        <w:rPr>
          <w:rFonts w:asciiTheme="minorHAnsi" w:hAnsiTheme="minorHAnsi" w:cstheme="minorHAnsi"/>
        </w:rPr>
        <w:t xml:space="preserve"> </w:t>
      </w:r>
      <w:r w:rsidR="009A78A8" w:rsidRPr="00B012AB">
        <w:rPr>
          <w:rFonts w:asciiTheme="minorHAnsi" w:hAnsiTheme="minorHAnsi" w:cstheme="minorHAnsi"/>
        </w:rPr>
        <w:t xml:space="preserve">will </w:t>
      </w:r>
      <w:r w:rsidR="00642562" w:rsidRPr="00B012AB">
        <w:rPr>
          <w:rFonts w:asciiTheme="minorHAnsi" w:hAnsiTheme="minorHAnsi" w:cstheme="minorHAnsi"/>
        </w:rPr>
        <w:t xml:space="preserve">support </w:t>
      </w:r>
      <w:r w:rsidR="009A78A8" w:rsidRPr="00B012AB">
        <w:rPr>
          <w:rFonts w:asciiTheme="minorHAnsi" w:hAnsiTheme="minorHAnsi" w:cstheme="minorHAnsi"/>
        </w:rPr>
        <w:t>the</w:t>
      </w:r>
      <w:r w:rsidR="00B012AB">
        <w:rPr>
          <w:rFonts w:asciiTheme="minorHAnsi" w:hAnsiTheme="minorHAnsi" w:cstheme="minorHAnsi"/>
        </w:rPr>
        <w:t xml:space="preserve"> magazine</w:t>
      </w:r>
      <w:r w:rsidR="009A78A8" w:rsidRPr="00B012AB">
        <w:rPr>
          <w:rFonts w:asciiTheme="minorHAnsi" w:hAnsiTheme="minorHAnsi" w:cstheme="minorHAnsi"/>
        </w:rPr>
        <w:t>,</w:t>
      </w:r>
      <w:r w:rsidR="00642562" w:rsidRPr="00B012AB">
        <w:rPr>
          <w:rFonts w:asciiTheme="minorHAnsi" w:hAnsiTheme="minorHAnsi" w:cstheme="minorHAnsi"/>
        </w:rPr>
        <w:t xml:space="preserve"> </w:t>
      </w:r>
      <w:r w:rsidRPr="00B012AB">
        <w:rPr>
          <w:rFonts w:asciiTheme="minorHAnsi" w:hAnsiTheme="minorHAnsi" w:cstheme="minorHAnsi"/>
        </w:rPr>
        <w:t xml:space="preserve">we </w:t>
      </w:r>
      <w:r w:rsidR="009A78A8" w:rsidRPr="00B012AB">
        <w:rPr>
          <w:rFonts w:asciiTheme="minorHAnsi" w:hAnsiTheme="minorHAnsi" w:cstheme="minorHAnsi"/>
        </w:rPr>
        <w:t>aim to</w:t>
      </w:r>
      <w:r w:rsidRPr="00B012AB">
        <w:rPr>
          <w:rFonts w:asciiTheme="minorHAnsi" w:hAnsiTheme="minorHAnsi" w:cstheme="minorHAnsi"/>
        </w:rPr>
        <w:t xml:space="preserve"> </w:t>
      </w:r>
      <w:r w:rsidR="00642562" w:rsidRPr="00B012AB">
        <w:rPr>
          <w:rFonts w:asciiTheme="minorHAnsi" w:hAnsiTheme="minorHAnsi" w:cstheme="minorHAnsi"/>
        </w:rPr>
        <w:t>highlight</w:t>
      </w:r>
      <w:r w:rsidRPr="00B012AB">
        <w:rPr>
          <w:rFonts w:asciiTheme="minorHAnsi" w:hAnsiTheme="minorHAnsi" w:cstheme="minorHAnsi"/>
        </w:rPr>
        <w:t xml:space="preserve"> </w:t>
      </w:r>
      <w:r w:rsidR="004E3C5D" w:rsidRPr="00B012AB">
        <w:rPr>
          <w:rFonts w:asciiTheme="minorHAnsi" w:hAnsiTheme="minorHAnsi" w:cstheme="minorHAnsi"/>
        </w:rPr>
        <w:t xml:space="preserve">how </w:t>
      </w:r>
      <w:r w:rsidRPr="00B012AB">
        <w:rPr>
          <w:rFonts w:asciiTheme="minorHAnsi" w:hAnsiTheme="minorHAnsi" w:cstheme="minorHAnsi"/>
        </w:rPr>
        <w:t>enterprise</w:t>
      </w:r>
      <w:r w:rsidR="007B5A96" w:rsidRPr="00B012AB">
        <w:rPr>
          <w:rFonts w:asciiTheme="minorHAnsi" w:hAnsiTheme="minorHAnsi" w:cstheme="minorHAnsi"/>
        </w:rPr>
        <w:t xml:space="preserve"> and public sector</w:t>
      </w:r>
      <w:r w:rsidR="00642562" w:rsidRPr="00B012AB">
        <w:rPr>
          <w:rFonts w:asciiTheme="minorHAnsi" w:hAnsiTheme="minorHAnsi" w:cstheme="minorHAnsi"/>
        </w:rPr>
        <w:t xml:space="preserve"> </w:t>
      </w:r>
      <w:r w:rsidR="004E3C5D" w:rsidRPr="00B012AB">
        <w:rPr>
          <w:rFonts w:asciiTheme="minorHAnsi" w:hAnsiTheme="minorHAnsi" w:cstheme="minorHAnsi"/>
        </w:rPr>
        <w:t>organisations</w:t>
      </w:r>
      <w:r w:rsidR="00642562" w:rsidRPr="00B012AB">
        <w:rPr>
          <w:rFonts w:asciiTheme="minorHAnsi" w:hAnsiTheme="minorHAnsi" w:cstheme="minorHAnsi"/>
        </w:rPr>
        <w:t xml:space="preserve"> are</w:t>
      </w:r>
      <w:r w:rsidRPr="00B012AB">
        <w:rPr>
          <w:rFonts w:asciiTheme="minorHAnsi" w:hAnsiTheme="minorHAnsi" w:cstheme="minorHAnsi"/>
        </w:rPr>
        <w:t xml:space="preserve"> reimagin</w:t>
      </w:r>
      <w:r w:rsidR="00642562" w:rsidRPr="00B012AB">
        <w:rPr>
          <w:rFonts w:asciiTheme="minorHAnsi" w:hAnsiTheme="minorHAnsi" w:cstheme="minorHAnsi"/>
        </w:rPr>
        <w:t xml:space="preserve">ing </w:t>
      </w:r>
      <w:r w:rsidR="00B012AB">
        <w:rPr>
          <w:rFonts w:asciiTheme="minorHAnsi" w:hAnsiTheme="minorHAnsi" w:cstheme="minorHAnsi"/>
        </w:rPr>
        <w:t xml:space="preserve">the </w:t>
      </w:r>
      <w:r w:rsidR="004E3C5D" w:rsidRPr="00B012AB">
        <w:rPr>
          <w:rFonts w:asciiTheme="minorHAnsi" w:hAnsiTheme="minorHAnsi" w:cstheme="minorHAnsi"/>
        </w:rPr>
        <w:t>ways in which they</w:t>
      </w:r>
      <w:r w:rsidRPr="00B012AB">
        <w:rPr>
          <w:rFonts w:asciiTheme="minorHAnsi" w:hAnsiTheme="minorHAnsi" w:cstheme="minorHAnsi"/>
        </w:rPr>
        <w:t xml:space="preserve"> </w:t>
      </w:r>
      <w:r w:rsidR="00642562" w:rsidRPr="00B012AB">
        <w:rPr>
          <w:rFonts w:asciiTheme="minorHAnsi" w:hAnsiTheme="minorHAnsi" w:cstheme="minorHAnsi"/>
        </w:rPr>
        <w:t xml:space="preserve">can </w:t>
      </w:r>
      <w:r w:rsidRPr="00B012AB">
        <w:rPr>
          <w:rFonts w:asciiTheme="minorHAnsi" w:hAnsiTheme="minorHAnsi" w:cstheme="minorHAnsi"/>
        </w:rPr>
        <w:t xml:space="preserve">bring together people, </w:t>
      </w:r>
      <w:r w:rsidR="000B5848" w:rsidRPr="00B012AB">
        <w:rPr>
          <w:rFonts w:asciiTheme="minorHAnsi" w:hAnsiTheme="minorHAnsi" w:cstheme="minorHAnsi"/>
        </w:rPr>
        <w:t>data,</w:t>
      </w:r>
      <w:r w:rsidRPr="00B012AB">
        <w:rPr>
          <w:rFonts w:asciiTheme="minorHAnsi" w:hAnsiTheme="minorHAnsi" w:cstheme="minorHAnsi"/>
        </w:rPr>
        <w:t xml:space="preserve"> </w:t>
      </w:r>
      <w:r w:rsidR="00642562" w:rsidRPr="00B012AB">
        <w:rPr>
          <w:rFonts w:asciiTheme="minorHAnsi" w:hAnsiTheme="minorHAnsi" w:cstheme="minorHAnsi"/>
        </w:rPr>
        <w:t>and</w:t>
      </w:r>
      <w:r w:rsidRPr="00B012AB">
        <w:rPr>
          <w:rFonts w:asciiTheme="minorHAnsi" w:hAnsiTheme="minorHAnsi" w:cstheme="minorHAnsi"/>
        </w:rPr>
        <w:t xml:space="preserve"> processes.</w:t>
      </w:r>
    </w:p>
    <w:p w14:paraId="7E70A6CB" w14:textId="77777777" w:rsidR="005C4212" w:rsidRPr="00B012AB" w:rsidRDefault="005C4212" w:rsidP="00196C23">
      <w:pPr>
        <w:ind w:left="851" w:right="-173" w:hanging="851"/>
        <w:jc w:val="right"/>
        <w:rPr>
          <w:rFonts w:asciiTheme="minorHAnsi" w:hAnsiTheme="minorHAnsi" w:cstheme="minorHAnsi"/>
          <w:b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835"/>
        <w:gridCol w:w="2976"/>
        <w:gridCol w:w="3119"/>
      </w:tblGrid>
      <w:tr w:rsidR="002A4414" w:rsidRPr="00B012AB" w14:paraId="2428B242" w14:textId="77777777" w:rsidTr="00666192">
        <w:trPr>
          <w:trHeight w:hRule="exact" w:val="45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B202" w14:textId="77777777" w:rsidR="001B040C" w:rsidRPr="00B012AB" w:rsidRDefault="001B040C" w:rsidP="004B28A4">
            <w:pPr>
              <w:rPr>
                <w:rFonts w:asciiTheme="minorHAnsi" w:hAnsiTheme="minorHAnsi" w:cstheme="minorHAnsi"/>
                <w:color w:val="1F497D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BEBC" w14:textId="77777777" w:rsidR="001B040C" w:rsidRPr="00B012AB" w:rsidRDefault="00057B7D" w:rsidP="004B28A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SPRING</w:t>
            </w:r>
            <w:r w:rsidR="001B040C"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B012AB">
              <w:rPr>
                <w:rFonts w:asciiTheme="minorHAnsi" w:hAnsiTheme="minorHAnsi" w:cstheme="minorHAnsi"/>
                <w:bCs/>
                <w:color w:val="000000" w:themeColor="text1"/>
              </w:rPr>
              <w:t>(March)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FB21" w14:textId="77777777" w:rsidR="001B040C" w:rsidRPr="00B012AB" w:rsidRDefault="00057B7D" w:rsidP="004B28A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SUMMER</w:t>
            </w:r>
            <w:r w:rsidR="001B040C"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B012AB">
              <w:rPr>
                <w:rFonts w:asciiTheme="minorHAnsi" w:hAnsiTheme="minorHAnsi" w:cstheme="minorHAnsi"/>
                <w:bCs/>
                <w:color w:val="000000" w:themeColor="text1"/>
              </w:rPr>
              <w:t>(June)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E9BF" w14:textId="77777777" w:rsidR="001B040C" w:rsidRPr="00B012AB" w:rsidRDefault="00057B7D" w:rsidP="004B28A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AUTUMN</w:t>
            </w:r>
            <w:r w:rsidR="001B040C"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B012AB">
              <w:rPr>
                <w:rFonts w:asciiTheme="minorHAnsi" w:hAnsiTheme="minorHAnsi" w:cstheme="minorHAnsi"/>
                <w:bCs/>
                <w:color w:val="000000" w:themeColor="text1"/>
              </w:rPr>
              <w:t>(September)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062C" w14:textId="77777777" w:rsidR="001B040C" w:rsidRPr="00B012AB" w:rsidRDefault="00057B7D" w:rsidP="004B28A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WINTER</w:t>
            </w:r>
            <w:r w:rsidR="001B040C"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B012AB">
              <w:rPr>
                <w:rFonts w:asciiTheme="minorHAnsi" w:hAnsiTheme="minorHAnsi" w:cstheme="minorHAnsi"/>
                <w:bCs/>
                <w:color w:val="000000" w:themeColor="text1"/>
              </w:rPr>
              <w:t>(December)</w:t>
            </w:r>
          </w:p>
        </w:tc>
      </w:tr>
      <w:tr w:rsidR="003A1681" w:rsidRPr="00B012AB" w14:paraId="2835B9D9" w14:textId="77777777" w:rsidTr="00666192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B5383" w14:textId="77777777" w:rsidR="001B040C" w:rsidRPr="00B012AB" w:rsidRDefault="001B040C" w:rsidP="004B28A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Cover 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CF91A6" w14:textId="6DACE550" w:rsidR="00946AC7" w:rsidRPr="00B012AB" w:rsidRDefault="00722AF5" w:rsidP="004B28A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</w:rPr>
              <w:t>Securing against the threat of cyberattack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13449B" w14:textId="4861100C" w:rsidR="0052717B" w:rsidRPr="00B012AB" w:rsidRDefault="00EA5FDE" w:rsidP="00C338C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bookmarkStart w:id="0" w:name="_Hlk114755684"/>
            <w:r w:rsidRPr="00EA5FDE">
              <w:rPr>
                <w:rFonts w:asciiTheme="minorHAnsi" w:hAnsiTheme="minorHAnsi" w:cstheme="minorHAnsi"/>
              </w:rPr>
              <w:t xml:space="preserve">Successfully driving change in modern workforce </w:t>
            </w:r>
            <w:r w:rsidR="00DB11FF" w:rsidRPr="00EA5FDE">
              <w:rPr>
                <w:rFonts w:asciiTheme="minorHAnsi" w:hAnsiTheme="minorHAnsi" w:cstheme="minorHAnsi"/>
              </w:rPr>
              <w:t>cultur</w:t>
            </w:r>
            <w:r w:rsidRPr="00EA5FDE">
              <w:rPr>
                <w:rFonts w:asciiTheme="minorHAnsi" w:hAnsiTheme="minorHAnsi" w:cstheme="minorHAnsi"/>
              </w:rPr>
              <w:t>e</w:t>
            </w:r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3BA3BC" w14:textId="2B77AF81" w:rsidR="00DB79DF" w:rsidRPr="00B012AB" w:rsidRDefault="00B20B09" w:rsidP="004B28A4">
            <w:pPr>
              <w:rPr>
                <w:rFonts w:asciiTheme="minorHAnsi" w:hAnsiTheme="minorHAnsi" w:cstheme="minorHAnsi"/>
                <w:color w:val="FF0000"/>
              </w:rPr>
            </w:pPr>
            <w:bookmarkStart w:id="1" w:name="_Hlk114756480"/>
            <w:r w:rsidRPr="00321DFC">
              <w:rPr>
                <w:rFonts w:asciiTheme="minorHAnsi" w:hAnsiTheme="minorHAnsi" w:cstheme="minorHAnsi"/>
              </w:rPr>
              <w:t>Levering technology to drive productivity in tough times</w:t>
            </w:r>
            <w:bookmarkEnd w:id="1"/>
            <w:r w:rsidR="00CC1B21" w:rsidRPr="00B012A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052A53" w14:textId="63F1DCFE" w:rsidR="00DB79DF" w:rsidRPr="00B012AB" w:rsidRDefault="009332C9" w:rsidP="004B28A4">
            <w:pPr>
              <w:rPr>
                <w:rFonts w:asciiTheme="minorHAnsi" w:hAnsiTheme="minorHAnsi" w:cstheme="minorHAnsi"/>
                <w:color w:val="FF0000"/>
              </w:rPr>
            </w:pPr>
            <w:bookmarkStart w:id="2" w:name="_Hlk114757788"/>
            <w:r>
              <w:rPr>
                <w:rFonts w:asciiTheme="minorHAnsi" w:hAnsiTheme="minorHAnsi" w:cstheme="minorHAnsi"/>
              </w:rPr>
              <w:t xml:space="preserve">Using </w:t>
            </w:r>
            <w:r w:rsidR="006367E9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loud to balance rapid success with long-term value</w:t>
            </w:r>
            <w:bookmarkEnd w:id="2"/>
          </w:p>
        </w:tc>
      </w:tr>
      <w:tr w:rsidR="001B040C" w:rsidRPr="00B012AB" w14:paraId="320A1F60" w14:textId="77777777" w:rsidTr="0066619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2791E0" w14:textId="77777777" w:rsidR="001B040C" w:rsidRPr="00B012AB" w:rsidRDefault="001B040C" w:rsidP="004B28A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Regulars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40242" w14:textId="49DF80EA" w:rsidR="001B040C" w:rsidRPr="00B012AB" w:rsidRDefault="001B040C" w:rsidP="004B28A4">
            <w:pPr>
              <w:rPr>
                <w:rFonts w:asciiTheme="minorHAnsi" w:hAnsiTheme="minorHAnsi" w:cstheme="minorHAnsi"/>
              </w:rPr>
            </w:pPr>
            <w:r w:rsidRPr="00B012AB">
              <w:rPr>
                <w:rFonts w:asciiTheme="minorHAnsi" w:hAnsiTheme="minorHAnsi" w:cstheme="minorHAnsi"/>
                <w:b/>
                <w:bCs/>
              </w:rPr>
              <w:t>Marketwatch</w:t>
            </w:r>
            <w:r w:rsidRPr="00B012AB">
              <w:rPr>
                <w:rFonts w:asciiTheme="minorHAnsi" w:hAnsiTheme="minorHAnsi" w:cstheme="minorHAnsi"/>
              </w:rPr>
              <w:t xml:space="preserve">: A </w:t>
            </w:r>
            <w:r w:rsidR="0033461F" w:rsidRPr="00B012AB">
              <w:rPr>
                <w:rFonts w:asciiTheme="minorHAnsi" w:hAnsiTheme="minorHAnsi" w:cstheme="minorHAnsi"/>
              </w:rPr>
              <w:t xml:space="preserve">global </w:t>
            </w:r>
            <w:r w:rsidRPr="00B012AB">
              <w:rPr>
                <w:rFonts w:asciiTheme="minorHAnsi" w:hAnsiTheme="minorHAnsi" w:cstheme="minorHAnsi"/>
              </w:rPr>
              <w:t>round</w:t>
            </w:r>
            <w:r w:rsidR="009B05D4" w:rsidRPr="00B012AB">
              <w:rPr>
                <w:rFonts w:asciiTheme="minorHAnsi" w:hAnsiTheme="minorHAnsi" w:cstheme="minorHAnsi"/>
              </w:rPr>
              <w:t>-</w:t>
            </w:r>
            <w:r w:rsidRPr="00B012AB">
              <w:rPr>
                <w:rFonts w:asciiTheme="minorHAnsi" w:hAnsiTheme="minorHAnsi" w:cstheme="minorHAnsi"/>
              </w:rPr>
              <w:t xml:space="preserve">up of key updates from Microsoft and its </w:t>
            </w:r>
            <w:r w:rsidR="0033461F" w:rsidRPr="00B012AB">
              <w:rPr>
                <w:rFonts w:asciiTheme="minorHAnsi" w:hAnsiTheme="minorHAnsi" w:cstheme="minorHAnsi"/>
              </w:rPr>
              <w:t xml:space="preserve">ecosystem of </w:t>
            </w:r>
            <w:r w:rsidRPr="00B012AB">
              <w:rPr>
                <w:rFonts w:asciiTheme="minorHAnsi" w:hAnsiTheme="minorHAnsi" w:cstheme="minorHAnsi"/>
              </w:rPr>
              <w:t>partners</w:t>
            </w:r>
          </w:p>
          <w:p w14:paraId="0FA78D8C" w14:textId="4AD0E2CA" w:rsidR="001B040C" w:rsidRPr="00B012AB" w:rsidRDefault="000B5848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Executive i</w:t>
            </w:r>
            <w:r w:rsidR="001B040C" w:rsidRPr="00B012AB">
              <w:rPr>
                <w:rFonts w:asciiTheme="minorHAnsi" w:hAnsiTheme="minorHAnsi" w:cstheme="minorHAnsi"/>
                <w:b/>
                <w:bCs/>
              </w:rPr>
              <w:t>nterviews</w:t>
            </w:r>
            <w:r w:rsidR="001B040C" w:rsidRPr="00B012AB">
              <w:rPr>
                <w:rFonts w:asciiTheme="minorHAnsi" w:hAnsiTheme="minorHAnsi" w:cstheme="minorHAnsi"/>
              </w:rPr>
              <w:t xml:space="preserve">: We speak to </w:t>
            </w:r>
            <w:r w:rsidR="009143CF" w:rsidRPr="00B012AB">
              <w:rPr>
                <w:rFonts w:asciiTheme="minorHAnsi" w:hAnsiTheme="minorHAnsi" w:cstheme="minorHAnsi"/>
              </w:rPr>
              <w:t>Microsoft leaders</w:t>
            </w:r>
            <w:r w:rsidR="001B040C" w:rsidRPr="00B012AB">
              <w:rPr>
                <w:rFonts w:asciiTheme="minorHAnsi" w:hAnsiTheme="minorHAnsi" w:cstheme="minorHAnsi"/>
              </w:rPr>
              <w:t xml:space="preserve"> about how technology is shaping the</w:t>
            </w:r>
            <w:r w:rsidR="009143CF" w:rsidRPr="00B012AB">
              <w:rPr>
                <w:rFonts w:asciiTheme="minorHAnsi" w:hAnsiTheme="minorHAnsi" w:cstheme="minorHAnsi"/>
              </w:rPr>
              <w:t xml:space="preserve"> </w:t>
            </w:r>
            <w:r w:rsidR="001B040C" w:rsidRPr="00B012AB">
              <w:rPr>
                <w:rFonts w:asciiTheme="minorHAnsi" w:hAnsiTheme="minorHAnsi" w:cstheme="minorHAnsi"/>
              </w:rPr>
              <w:t>world</w:t>
            </w:r>
            <w:r w:rsidR="009143CF" w:rsidRPr="00B012AB">
              <w:rPr>
                <w:rFonts w:asciiTheme="minorHAnsi" w:hAnsiTheme="minorHAnsi" w:cstheme="minorHAnsi"/>
              </w:rPr>
              <w:t xml:space="preserve"> of commerce and public services</w:t>
            </w:r>
          </w:p>
          <w:p w14:paraId="29EDF92B" w14:textId="59A95202" w:rsidR="001B040C" w:rsidRDefault="001B040C" w:rsidP="004B28A4">
            <w:pPr>
              <w:rPr>
                <w:rFonts w:asciiTheme="minorHAnsi" w:hAnsiTheme="minorHAnsi" w:cstheme="minorHAnsi"/>
              </w:rPr>
            </w:pPr>
            <w:r w:rsidRPr="00B012AB">
              <w:rPr>
                <w:rFonts w:asciiTheme="minorHAnsi" w:hAnsiTheme="minorHAnsi" w:cstheme="minorHAnsi"/>
                <w:b/>
                <w:bCs/>
              </w:rPr>
              <w:t>Commentaries</w:t>
            </w:r>
            <w:r w:rsidRPr="00B012AB">
              <w:rPr>
                <w:rFonts w:asciiTheme="minorHAnsi" w:hAnsiTheme="minorHAnsi" w:cstheme="minorHAnsi"/>
              </w:rPr>
              <w:t xml:space="preserve">: </w:t>
            </w:r>
            <w:r w:rsidR="0033461F" w:rsidRPr="00B012AB">
              <w:rPr>
                <w:rFonts w:asciiTheme="minorHAnsi" w:hAnsiTheme="minorHAnsi" w:cstheme="minorHAnsi"/>
              </w:rPr>
              <w:t>Thought leaders</w:t>
            </w:r>
            <w:r w:rsidRPr="00B012AB">
              <w:rPr>
                <w:rFonts w:asciiTheme="minorHAnsi" w:hAnsiTheme="minorHAnsi" w:cstheme="minorHAnsi"/>
              </w:rPr>
              <w:t xml:space="preserve"> share insight </w:t>
            </w:r>
            <w:r w:rsidR="0033461F" w:rsidRPr="00B012AB">
              <w:rPr>
                <w:rFonts w:asciiTheme="minorHAnsi" w:hAnsiTheme="minorHAnsi" w:cstheme="minorHAnsi"/>
              </w:rPr>
              <w:t>on</w:t>
            </w:r>
            <w:r w:rsidRPr="00B012AB">
              <w:rPr>
                <w:rFonts w:asciiTheme="minorHAnsi" w:hAnsiTheme="minorHAnsi" w:cstheme="minorHAnsi"/>
              </w:rPr>
              <w:t xml:space="preserve"> </w:t>
            </w:r>
            <w:r w:rsidR="0033461F" w:rsidRPr="00B012AB">
              <w:rPr>
                <w:rFonts w:asciiTheme="minorHAnsi" w:hAnsiTheme="minorHAnsi" w:cstheme="minorHAnsi"/>
              </w:rPr>
              <w:t>k</w:t>
            </w:r>
            <w:r w:rsidRPr="00B012AB">
              <w:rPr>
                <w:rFonts w:asciiTheme="minorHAnsi" w:hAnsiTheme="minorHAnsi" w:cstheme="minorHAnsi"/>
              </w:rPr>
              <w:t>e</w:t>
            </w:r>
            <w:r w:rsidR="0033461F" w:rsidRPr="00B012AB">
              <w:rPr>
                <w:rFonts w:asciiTheme="minorHAnsi" w:hAnsiTheme="minorHAnsi" w:cstheme="minorHAnsi"/>
              </w:rPr>
              <w:t>y</w:t>
            </w:r>
            <w:r w:rsidRPr="00B012AB">
              <w:rPr>
                <w:rFonts w:asciiTheme="minorHAnsi" w:hAnsiTheme="minorHAnsi" w:cstheme="minorHAnsi"/>
              </w:rPr>
              <w:t xml:space="preserve"> issues facing industry</w:t>
            </w:r>
            <w:r w:rsidR="0033461F" w:rsidRPr="00B012AB">
              <w:rPr>
                <w:rFonts w:asciiTheme="minorHAnsi" w:hAnsiTheme="minorHAnsi" w:cstheme="minorHAnsi"/>
              </w:rPr>
              <w:t xml:space="preserve"> and public sector organisations today</w:t>
            </w:r>
          </w:p>
          <w:p w14:paraId="4FBC0B17" w14:textId="5FD85226" w:rsidR="000B5848" w:rsidRPr="00B012AB" w:rsidRDefault="000B5848" w:rsidP="004B28A4">
            <w:pPr>
              <w:rPr>
                <w:rFonts w:asciiTheme="minorHAnsi" w:hAnsiTheme="minorHAnsi" w:cstheme="minorHAnsi"/>
              </w:rPr>
            </w:pPr>
            <w:r w:rsidRPr="000B5848">
              <w:rPr>
                <w:rFonts w:asciiTheme="minorHAnsi" w:hAnsiTheme="minorHAnsi" w:cstheme="minorHAnsi"/>
                <w:b/>
                <w:bCs/>
              </w:rPr>
              <w:t xml:space="preserve">Product </w:t>
            </w:r>
            <w:r>
              <w:rPr>
                <w:rFonts w:asciiTheme="minorHAnsi" w:hAnsiTheme="minorHAnsi" w:cstheme="minorHAnsi"/>
                <w:b/>
                <w:bCs/>
              </w:rPr>
              <w:t>features</w:t>
            </w:r>
            <w:r w:rsidRPr="000B5848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A regular deep dive into leading Microsoft products, from Dynamics 365 to HoloLens, Azure to Office </w:t>
            </w:r>
          </w:p>
          <w:p w14:paraId="297CC123" w14:textId="2A642B90" w:rsidR="001B040C" w:rsidRPr="00B012AB" w:rsidRDefault="001B040C" w:rsidP="004B28A4">
            <w:pPr>
              <w:rPr>
                <w:rFonts w:asciiTheme="minorHAnsi" w:hAnsiTheme="minorHAnsi" w:cstheme="minorHAnsi"/>
              </w:rPr>
            </w:pPr>
            <w:r w:rsidRPr="00B012AB">
              <w:rPr>
                <w:rFonts w:asciiTheme="minorHAnsi" w:hAnsiTheme="minorHAnsi" w:cstheme="minorHAnsi"/>
                <w:b/>
                <w:bCs/>
              </w:rPr>
              <w:t>Case studies</w:t>
            </w:r>
            <w:r w:rsidRPr="00B012AB">
              <w:rPr>
                <w:rFonts w:asciiTheme="minorHAnsi" w:hAnsiTheme="minorHAnsi" w:cstheme="minorHAnsi"/>
              </w:rPr>
              <w:t xml:space="preserve">: </w:t>
            </w:r>
            <w:r w:rsidR="009143CF" w:rsidRPr="00B012AB">
              <w:rPr>
                <w:rFonts w:asciiTheme="minorHAnsi" w:hAnsiTheme="minorHAnsi" w:cstheme="minorHAnsi"/>
              </w:rPr>
              <w:t>Real life e</w:t>
            </w:r>
            <w:r w:rsidRPr="00B012AB">
              <w:rPr>
                <w:rFonts w:asciiTheme="minorHAnsi" w:hAnsiTheme="minorHAnsi" w:cstheme="minorHAnsi"/>
              </w:rPr>
              <w:t xml:space="preserve">xamples of </w:t>
            </w:r>
            <w:r w:rsidR="004B28A4" w:rsidRPr="00B012AB">
              <w:rPr>
                <w:rFonts w:asciiTheme="minorHAnsi" w:hAnsiTheme="minorHAnsi" w:cstheme="minorHAnsi"/>
              </w:rPr>
              <w:t>w</w:t>
            </w:r>
            <w:r w:rsidRPr="00B012AB">
              <w:rPr>
                <w:rFonts w:asciiTheme="minorHAnsi" w:hAnsiTheme="minorHAnsi" w:cstheme="minorHAnsi"/>
              </w:rPr>
              <w:t>h</w:t>
            </w:r>
            <w:r w:rsidR="004B28A4" w:rsidRPr="00B012AB">
              <w:rPr>
                <w:rFonts w:asciiTheme="minorHAnsi" w:hAnsiTheme="minorHAnsi" w:cstheme="minorHAnsi"/>
              </w:rPr>
              <w:t>ere</w:t>
            </w:r>
            <w:r w:rsidR="005C4212" w:rsidRPr="00B012AB">
              <w:rPr>
                <w:rFonts w:asciiTheme="minorHAnsi" w:hAnsiTheme="minorHAnsi" w:cstheme="minorHAnsi"/>
              </w:rPr>
              <w:t xml:space="preserve"> Microsoft </w:t>
            </w:r>
            <w:r w:rsidRPr="00B012AB">
              <w:rPr>
                <w:rFonts w:asciiTheme="minorHAnsi" w:hAnsiTheme="minorHAnsi" w:cstheme="minorHAnsi"/>
              </w:rPr>
              <w:t>technology</w:t>
            </w:r>
            <w:r w:rsidR="0033461F" w:rsidRPr="00B012AB">
              <w:rPr>
                <w:rFonts w:asciiTheme="minorHAnsi" w:hAnsiTheme="minorHAnsi" w:cstheme="minorHAnsi"/>
              </w:rPr>
              <w:t xml:space="preserve"> and partner solutions </w:t>
            </w:r>
            <w:r w:rsidR="004B28A4" w:rsidRPr="00B012AB">
              <w:rPr>
                <w:rFonts w:asciiTheme="minorHAnsi" w:hAnsiTheme="minorHAnsi" w:cstheme="minorHAnsi"/>
              </w:rPr>
              <w:t xml:space="preserve">are </w:t>
            </w:r>
            <w:r w:rsidRPr="00B012AB">
              <w:rPr>
                <w:rFonts w:asciiTheme="minorHAnsi" w:hAnsiTheme="minorHAnsi" w:cstheme="minorHAnsi"/>
              </w:rPr>
              <w:t>helping organisations</w:t>
            </w:r>
            <w:r w:rsidR="00D263FD" w:rsidRPr="00B012AB">
              <w:rPr>
                <w:rFonts w:asciiTheme="minorHAnsi" w:hAnsiTheme="minorHAnsi" w:cstheme="minorHAnsi"/>
              </w:rPr>
              <w:t xml:space="preserve"> </w:t>
            </w:r>
            <w:r w:rsidRPr="00B012AB">
              <w:rPr>
                <w:rFonts w:asciiTheme="minorHAnsi" w:hAnsiTheme="minorHAnsi" w:cstheme="minorHAnsi"/>
              </w:rPr>
              <w:t xml:space="preserve">stay ahead </w:t>
            </w:r>
          </w:p>
        </w:tc>
      </w:tr>
      <w:tr w:rsidR="005101F7" w:rsidRPr="00B012AB" w14:paraId="3F5FEF32" w14:textId="77777777" w:rsidTr="00666192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E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2D72E4" w14:textId="77777777" w:rsidR="005101F7" w:rsidRPr="00B012AB" w:rsidRDefault="005101F7" w:rsidP="004B28A4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bookmarkStart w:id="3" w:name="_Hlk20997087"/>
            <w:bookmarkStart w:id="4" w:name="_Hlk114758029"/>
            <w:r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Financial Services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9D6E72" w14:textId="1C64EAC2" w:rsidR="005101F7" w:rsidRPr="00196FC6" w:rsidRDefault="00970774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Tracking the adoption of AI in the financial services industry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2C82E" w14:textId="3E5C22C9" w:rsidR="005101F7" w:rsidRPr="00196FC6" w:rsidRDefault="00970774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Governance, compliance</w:t>
            </w:r>
            <w:r w:rsidR="006A6A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and risk in financial services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67277" w14:textId="6BD29F6D" w:rsidR="005101F7" w:rsidRPr="00196FC6" w:rsidRDefault="00EA5FDE" w:rsidP="004B28A4">
            <w:pPr>
              <w:rPr>
                <w:rFonts w:asciiTheme="minorHAnsi" w:hAnsiTheme="minorHAnsi" w:cstheme="minorHAnsi"/>
              </w:rPr>
            </w:pPr>
            <w:r w:rsidRPr="00196FC6">
              <w:rPr>
                <w:rFonts w:asciiTheme="minorHAnsi" w:hAnsiTheme="minorHAnsi" w:cstheme="minorHAnsi"/>
              </w:rPr>
              <w:t>Creating brand new markets from core legacy functions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C20C55" w14:textId="2977DDD0" w:rsidR="005101F7" w:rsidRPr="003A5584" w:rsidRDefault="00970774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Boosting workforce effectiveness to improve customer experiences</w:t>
            </w:r>
          </w:p>
        </w:tc>
      </w:tr>
      <w:bookmarkEnd w:id="3"/>
      <w:tr w:rsidR="005101F7" w:rsidRPr="00B012AB" w14:paraId="722FF4F4" w14:textId="77777777" w:rsidTr="00196FC6">
        <w:trPr>
          <w:trHeight w:hRule="exact"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19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683498" w14:textId="02ED9A84" w:rsidR="005101F7" w:rsidRPr="00B012AB" w:rsidRDefault="00293346" w:rsidP="0066619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Industrials</w:t>
            </w:r>
            <w:r w:rsidR="00666192"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&amp; </w:t>
            </w:r>
            <w:r w:rsidR="005101F7"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Manufacturing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6867B" w14:textId="11236B72" w:rsidR="005101F7" w:rsidRPr="00196FC6" w:rsidRDefault="009C212C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the Cloud drives digital excellence in manufacturing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1FFAB" w14:textId="26E8876F" w:rsidR="005101F7" w:rsidRPr="00196FC6" w:rsidRDefault="001C1316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</w:t>
            </w:r>
            <w:r w:rsidR="0004143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sustainability th</w:t>
            </w:r>
            <w:r w:rsidR="00041437">
              <w:rPr>
                <w:rFonts w:asciiTheme="minorHAnsi" w:hAnsiTheme="minorHAnsi" w:cstheme="minorHAnsi"/>
              </w:rPr>
              <w:t>rough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367E9">
              <w:rPr>
                <w:rFonts w:asciiTheme="minorHAnsi" w:hAnsiTheme="minorHAnsi" w:cstheme="minorHAnsi"/>
              </w:rPr>
              <w:t>C</w:t>
            </w:r>
            <w:r w:rsidR="00041437">
              <w:rPr>
                <w:rFonts w:asciiTheme="minorHAnsi" w:hAnsiTheme="minorHAnsi" w:cstheme="minorHAnsi"/>
              </w:rPr>
              <w:t>loud</w:t>
            </w:r>
            <w:r w:rsidR="006367E9">
              <w:rPr>
                <w:rFonts w:asciiTheme="minorHAnsi" w:hAnsiTheme="minorHAnsi" w:cstheme="minorHAnsi"/>
              </w:rPr>
              <w:t>-</w:t>
            </w:r>
            <w:r w:rsidR="00041437">
              <w:rPr>
                <w:rFonts w:asciiTheme="minorHAnsi" w:hAnsiTheme="minorHAnsi" w:cstheme="minorHAnsi"/>
              </w:rPr>
              <w:t>powered</w:t>
            </w:r>
            <w:r>
              <w:rPr>
                <w:rFonts w:asciiTheme="minorHAnsi" w:hAnsiTheme="minorHAnsi" w:cstheme="minorHAnsi"/>
              </w:rPr>
              <w:t xml:space="preserve"> supply chains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9F493" w14:textId="0CE59D29" w:rsidR="005101F7" w:rsidRPr="00196FC6" w:rsidRDefault="001C1316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Empowering the workforce with digital tools and devices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880BE" w14:textId="04E72EAE" w:rsidR="005101F7" w:rsidRPr="003A5584" w:rsidRDefault="003A5584" w:rsidP="004B28A4">
            <w:pPr>
              <w:rPr>
                <w:rFonts w:asciiTheme="minorHAnsi" w:hAnsiTheme="minorHAnsi"/>
              </w:rPr>
            </w:pPr>
            <w:bookmarkStart w:id="5" w:name="_Hlk114758103"/>
            <w:r>
              <w:t>Using d</w:t>
            </w:r>
            <w:r w:rsidR="004E23F6" w:rsidRPr="003A5584">
              <w:t>igital twin</w:t>
            </w:r>
            <w:r w:rsidR="001C1316">
              <w:t>s</w:t>
            </w:r>
            <w:r>
              <w:t xml:space="preserve"> to</w:t>
            </w:r>
            <w:r w:rsidR="004E23F6" w:rsidRPr="003A5584">
              <w:t xml:space="preserve"> accelerate </w:t>
            </w:r>
            <w:r>
              <w:t xml:space="preserve">your </w:t>
            </w:r>
            <w:r w:rsidR="004E23F6" w:rsidRPr="003A5584">
              <w:t>time to market</w:t>
            </w:r>
            <w:bookmarkEnd w:id="5"/>
          </w:p>
        </w:tc>
      </w:tr>
      <w:bookmarkEnd w:id="4"/>
      <w:tr w:rsidR="00220FFD" w:rsidRPr="00B012AB" w14:paraId="4BD9B36B" w14:textId="77777777" w:rsidTr="00666192">
        <w:trPr>
          <w:trHeight w:hRule="exact" w:val="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44509" w14:textId="08A30708" w:rsidR="00220FFD" w:rsidRPr="00B012AB" w:rsidRDefault="00220FFD" w:rsidP="004B28A4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Media &amp; Communications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A5BCC" w14:textId="12203446" w:rsidR="00293346" w:rsidRPr="00B012AB" w:rsidRDefault="00293346" w:rsidP="00293346">
            <w:pPr>
              <w:pStyle w:val="NoSpacing"/>
              <w:rPr>
                <w:rFonts w:eastAsia="Times New Roman" w:cstheme="minorHAnsi"/>
              </w:rPr>
            </w:pPr>
            <w:bookmarkStart w:id="6" w:name="_Hlk114756002"/>
            <w:r w:rsidRPr="00B012AB">
              <w:rPr>
                <w:rFonts w:cstheme="minorHAnsi"/>
              </w:rPr>
              <w:t xml:space="preserve">The future of media supply chains in the </w:t>
            </w:r>
            <w:r w:rsidR="006367E9">
              <w:rPr>
                <w:rFonts w:cstheme="minorHAnsi"/>
              </w:rPr>
              <w:t>C</w:t>
            </w:r>
            <w:r w:rsidRPr="00B012AB">
              <w:rPr>
                <w:rFonts w:cstheme="minorHAnsi"/>
              </w:rPr>
              <w:t>loud</w:t>
            </w:r>
          </w:p>
          <w:bookmarkEnd w:id="6"/>
          <w:p w14:paraId="19C93F9E" w14:textId="6114E9CE" w:rsidR="00220FFD" w:rsidRPr="00B012AB" w:rsidRDefault="00220FFD" w:rsidP="004B28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A3F9A" w14:textId="3F82EC86" w:rsidR="00220FFD" w:rsidRPr="00B012AB" w:rsidRDefault="00293346" w:rsidP="00293346">
            <w:pPr>
              <w:pStyle w:val="NoSpacing"/>
              <w:rPr>
                <w:rFonts w:eastAsia="Times New Roman" w:cstheme="minorHAnsi"/>
              </w:rPr>
            </w:pPr>
            <w:bookmarkStart w:id="7" w:name="_Hlk114756011"/>
            <w:r w:rsidRPr="00B012AB">
              <w:rPr>
                <w:rFonts w:cstheme="minorHAnsi"/>
              </w:rPr>
              <w:t>Round table: What will media look like in 2030?</w:t>
            </w:r>
            <w:bookmarkEnd w:id="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6E16B" w14:textId="7ECBC817" w:rsidR="00220FFD" w:rsidRPr="00196FC6" w:rsidRDefault="000D5C29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tools t</w:t>
            </w:r>
            <w:r w:rsidR="00041437">
              <w:rPr>
                <w:rFonts w:asciiTheme="minorHAnsi" w:hAnsiTheme="minorHAnsi" w:cstheme="minorHAnsi"/>
              </w:rPr>
              <w:t>ransform</w:t>
            </w:r>
            <w:r>
              <w:rPr>
                <w:rFonts w:asciiTheme="minorHAnsi" w:hAnsiTheme="minorHAnsi" w:cstheme="minorHAnsi"/>
              </w:rPr>
              <w:t>ing the</w:t>
            </w:r>
            <w:r w:rsidR="00041437">
              <w:rPr>
                <w:rFonts w:asciiTheme="minorHAnsi" w:hAnsiTheme="minorHAnsi" w:cstheme="minorHAnsi"/>
              </w:rPr>
              <w:t xml:space="preserve"> media </w:t>
            </w:r>
            <w:r w:rsidR="006367E9">
              <w:rPr>
                <w:rFonts w:asciiTheme="minorHAnsi" w:hAnsiTheme="minorHAnsi" w:cstheme="minorHAnsi"/>
              </w:rPr>
              <w:t>&amp;</w:t>
            </w:r>
            <w:r w:rsidR="00041437">
              <w:rPr>
                <w:rFonts w:asciiTheme="minorHAnsi" w:hAnsiTheme="minorHAnsi" w:cstheme="minorHAnsi"/>
              </w:rPr>
              <w:t xml:space="preserve"> entertainment w</w:t>
            </w:r>
            <w:r>
              <w:rPr>
                <w:rFonts w:asciiTheme="minorHAnsi" w:hAnsiTheme="minorHAnsi" w:cstheme="minorHAnsi"/>
              </w:rPr>
              <w:t>orld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2A3FB" w14:textId="02B8AB52" w:rsidR="00220FFD" w:rsidRPr="00196FC6" w:rsidRDefault="000D5C29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Gaining customer insight to drive brand new media markets </w:t>
            </w:r>
          </w:p>
        </w:tc>
      </w:tr>
      <w:tr w:rsidR="005101F7" w:rsidRPr="00B012AB" w14:paraId="1F286D59" w14:textId="77777777" w:rsidTr="007F1EE5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90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D51F1D" w14:textId="77777777" w:rsidR="005101F7" w:rsidRPr="00B012AB" w:rsidRDefault="005101F7" w:rsidP="004B28A4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Public Sector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1779B8" w14:textId="2FB9AD5A" w:rsidR="005101F7" w:rsidRPr="00B012AB" w:rsidRDefault="001431C4" w:rsidP="004B28A4">
            <w:pPr>
              <w:rPr>
                <w:rFonts w:asciiTheme="minorHAnsi" w:hAnsiTheme="minorHAnsi" w:cstheme="minorHAnsi"/>
                <w:color w:val="00B050"/>
              </w:rPr>
            </w:pPr>
            <w:bookmarkStart w:id="8" w:name="_Hlk114755977"/>
            <w:r w:rsidRPr="00B012AB">
              <w:rPr>
                <w:rFonts w:asciiTheme="minorHAnsi" w:hAnsiTheme="minorHAnsi" w:cstheme="minorHAnsi"/>
              </w:rPr>
              <w:t xml:space="preserve">Driving </w:t>
            </w:r>
            <w:r w:rsidR="00666192" w:rsidRPr="00B012AB">
              <w:rPr>
                <w:rFonts w:asciiTheme="minorHAnsi" w:hAnsiTheme="minorHAnsi" w:cstheme="minorHAnsi"/>
              </w:rPr>
              <w:t xml:space="preserve">healthcare innovation with the power of the </w:t>
            </w:r>
            <w:r w:rsidR="006367E9">
              <w:rPr>
                <w:rFonts w:asciiTheme="minorHAnsi" w:hAnsiTheme="minorHAnsi" w:cstheme="minorHAnsi"/>
              </w:rPr>
              <w:t>C</w:t>
            </w:r>
            <w:r w:rsidR="00666192" w:rsidRPr="00B012AB">
              <w:rPr>
                <w:rFonts w:asciiTheme="minorHAnsi" w:hAnsiTheme="minorHAnsi" w:cstheme="minorHAnsi"/>
              </w:rPr>
              <w:t>loud</w:t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56E0B" w14:textId="2B50F71A" w:rsidR="005101F7" w:rsidRPr="007F1EE5" w:rsidRDefault="006367E9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</w:t>
            </w:r>
            <w:r w:rsidR="005D373F">
              <w:rPr>
                <w:rFonts w:asciiTheme="minorHAnsi" w:hAnsiTheme="minorHAnsi" w:cstheme="minorHAnsi"/>
              </w:rPr>
              <w:t>eat</w:t>
            </w:r>
            <w:r>
              <w:rPr>
                <w:rFonts w:asciiTheme="minorHAnsi" w:hAnsiTheme="minorHAnsi" w:cstheme="minorHAnsi"/>
              </w:rPr>
              <w:t>ing</w:t>
            </w:r>
            <w:r w:rsidR="00A80116">
              <w:rPr>
                <w:rFonts w:asciiTheme="minorHAnsi" w:hAnsiTheme="minorHAnsi" w:cstheme="minorHAnsi"/>
              </w:rPr>
              <w:t xml:space="preserve"> social</w:t>
            </w:r>
            <w:r>
              <w:rPr>
                <w:rFonts w:asciiTheme="minorHAnsi" w:hAnsiTheme="minorHAnsi" w:cstheme="minorHAnsi"/>
              </w:rPr>
              <w:t>, economic,</w:t>
            </w:r>
            <w:r w:rsidR="00A80116">
              <w:rPr>
                <w:rFonts w:asciiTheme="minorHAnsi" w:hAnsiTheme="minorHAnsi" w:cstheme="minorHAnsi"/>
              </w:rPr>
              <w:t xml:space="preserve"> and</w:t>
            </w:r>
            <w:r w:rsidR="005D373F">
              <w:rPr>
                <w:rFonts w:asciiTheme="minorHAnsi" w:hAnsiTheme="minorHAnsi" w:cstheme="minorHAnsi"/>
              </w:rPr>
              <w:t xml:space="preserve"> environmental</w:t>
            </w:r>
            <w:r w:rsidR="00A80116">
              <w:rPr>
                <w:rFonts w:asciiTheme="minorHAnsi" w:hAnsiTheme="minorHAnsi" w:cstheme="minorHAnsi"/>
              </w:rPr>
              <w:t xml:space="preserve"> prosperity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B92E8" w14:textId="7E545472" w:rsidR="005101F7" w:rsidRPr="007F1EE5" w:rsidRDefault="00A80116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Helping communities</w:t>
            </w:r>
            <w:r w:rsidR="00397F98">
              <w:rPr>
                <w:rFonts w:asciiTheme="minorHAnsi" w:hAnsiTheme="minorHAnsi" w:cstheme="minorHAnsi"/>
              </w:rPr>
              <w:t xml:space="preserve">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97F98">
              <w:rPr>
                <w:rFonts w:asciiTheme="minorHAnsi" w:hAnsiTheme="minorHAnsi" w:cstheme="minorHAnsi"/>
              </w:rPr>
              <w:t>solve infrastructural challenges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FB24F" w14:textId="4C8E1B33" w:rsidR="005101F7" w:rsidRPr="007F1EE5" w:rsidRDefault="00A80116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Digital tools transforming justice and defence services</w:t>
            </w:r>
          </w:p>
        </w:tc>
      </w:tr>
      <w:tr w:rsidR="006049F2" w:rsidRPr="00B012AB" w14:paraId="679AE7E3" w14:textId="77777777" w:rsidTr="00666192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1EB27" w14:textId="30426327" w:rsidR="006049F2" w:rsidRPr="00B012AB" w:rsidRDefault="006049F2" w:rsidP="004B28A4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012A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Retail &amp; Consumer Goods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722FD" w14:textId="7EF5A825" w:rsidR="006049F2" w:rsidRPr="007F1EE5" w:rsidRDefault="00C864C6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Boosting the productivity of frontline workers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F62C5C" w14:textId="1E6F3550" w:rsidR="006049F2" w:rsidRPr="007F1EE5" w:rsidRDefault="006E2837" w:rsidP="004B2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Powering consumer goods re</w:t>
            </w:r>
            <w:r w:rsidR="00C864C6">
              <w:rPr>
                <w:rFonts w:asciiTheme="minorHAnsi" w:hAnsiTheme="minorHAnsi" w:cstheme="minorHAnsi"/>
              </w:rPr>
              <w:t>venue growth management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0A734" w14:textId="7D8DE5B7" w:rsidR="006049F2" w:rsidRPr="007F1EE5" w:rsidRDefault="00C864C6" w:rsidP="004B28A4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Leveraging the </w:t>
            </w:r>
            <w:r w:rsidR="006367E9">
              <w:rPr>
                <w:rFonts w:asciiTheme="minorHAnsi" w:hAnsiTheme="minorHAnsi" w:cstheme="minorHAnsi"/>
                <w:shd w:val="clear" w:color="auto" w:fill="FFFFFF"/>
              </w:rPr>
              <w:t>C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loud to drive supply chain visibility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B514E" w14:textId="25046145" w:rsidR="006049F2" w:rsidRPr="00B012AB" w:rsidRDefault="00017850" w:rsidP="00747FB2">
            <w:pPr>
              <w:rPr>
                <w:rFonts w:asciiTheme="minorHAnsi" w:hAnsiTheme="minorHAnsi" w:cstheme="minorHAnsi"/>
                <w:color w:val="FF0000"/>
              </w:rPr>
            </w:pPr>
            <w:bookmarkStart w:id="9" w:name="_Hlk114756234"/>
            <w:r w:rsidRPr="00B20B09">
              <w:rPr>
                <w:rFonts w:asciiTheme="minorHAnsi" w:hAnsiTheme="minorHAnsi" w:cstheme="minorHAnsi"/>
                <w:shd w:val="clear" w:color="auto" w:fill="FFFFFF"/>
              </w:rPr>
              <w:t>Rei</w:t>
            </w:r>
            <w:r w:rsidR="00747FB2" w:rsidRPr="00B20B09">
              <w:rPr>
                <w:rFonts w:asciiTheme="minorHAnsi" w:hAnsiTheme="minorHAnsi" w:cstheme="minorHAnsi"/>
                <w:shd w:val="clear" w:color="auto" w:fill="FFFFFF"/>
              </w:rPr>
              <w:t>nvent</w:t>
            </w:r>
            <w:r w:rsidR="006367E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20B09">
              <w:rPr>
                <w:rFonts w:asciiTheme="minorHAnsi" w:hAnsiTheme="minorHAnsi" w:cstheme="minorHAnsi"/>
                <w:shd w:val="clear" w:color="auto" w:fill="FFFFFF"/>
              </w:rPr>
              <w:t>retail</w:t>
            </w:r>
            <w:r w:rsidR="00747FB2" w:rsidRPr="00B20B09">
              <w:rPr>
                <w:rFonts w:asciiTheme="minorHAnsi" w:hAnsiTheme="minorHAnsi" w:cstheme="minorHAnsi"/>
                <w:shd w:val="clear" w:color="auto" w:fill="FFFFFF"/>
              </w:rPr>
              <w:t xml:space="preserve"> relationship</w:t>
            </w:r>
            <w:r w:rsidR="00B20B09" w:rsidRPr="00B20B09"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="00747FB2" w:rsidRPr="00B20B0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B20B09" w:rsidRPr="00B20B09">
              <w:rPr>
                <w:rFonts w:asciiTheme="minorHAnsi" w:hAnsiTheme="minorHAnsi" w:cstheme="minorHAnsi"/>
                <w:shd w:val="clear" w:color="auto" w:fill="FFFFFF"/>
              </w:rPr>
              <w:t>to engage</w:t>
            </w:r>
            <w:r w:rsidR="00747FB2" w:rsidRPr="00B20B09">
              <w:rPr>
                <w:rFonts w:asciiTheme="minorHAnsi" w:hAnsiTheme="minorHAnsi" w:cstheme="minorHAnsi"/>
                <w:shd w:val="clear" w:color="auto" w:fill="FFFFFF"/>
              </w:rPr>
              <w:t xml:space="preserve"> customer</w:t>
            </w:r>
            <w:r w:rsidR="00B20B09" w:rsidRPr="00B20B09">
              <w:rPr>
                <w:rFonts w:asciiTheme="minorHAnsi" w:hAnsiTheme="minorHAnsi" w:cstheme="minorHAnsi"/>
                <w:shd w:val="clear" w:color="auto" w:fill="FFFFFF"/>
              </w:rPr>
              <w:t>s, new and old</w:t>
            </w:r>
            <w:bookmarkEnd w:id="9"/>
          </w:p>
        </w:tc>
      </w:tr>
      <w:tr w:rsidR="006049F2" w:rsidRPr="00B012AB" w14:paraId="1DA4D062" w14:textId="77777777" w:rsidTr="000B5848">
        <w:trPr>
          <w:trHeight w:hRule="exact" w:val="14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7B157" w14:textId="22AE06CA" w:rsidR="006049F2" w:rsidRPr="00B012AB" w:rsidRDefault="00A4062F" w:rsidP="006049F2">
            <w:pPr>
              <w:rPr>
                <w:rFonts w:asciiTheme="minorHAnsi" w:hAnsiTheme="minorHAnsi" w:cstheme="minorHAnsi"/>
                <w:b/>
                <w:bCs/>
              </w:rPr>
            </w:pPr>
            <w:r w:rsidRPr="00B012AB">
              <w:rPr>
                <w:rFonts w:asciiTheme="minorHAnsi" w:hAnsiTheme="minorHAnsi" w:cstheme="minorHAnsi"/>
                <w:b/>
                <w:bCs/>
              </w:rPr>
              <w:t>Key event foc</w:t>
            </w:r>
            <w:r w:rsidR="00783CD2" w:rsidRPr="00B012AB">
              <w:rPr>
                <w:rFonts w:asciiTheme="minorHAnsi" w:hAnsiTheme="minorHAnsi" w:cstheme="minorHAnsi"/>
                <w:b/>
                <w:bCs/>
              </w:rPr>
              <w:t>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E5020" w14:textId="77777777" w:rsidR="006A074B" w:rsidRPr="0007554E" w:rsidRDefault="006A074B" w:rsidP="004B7D03">
            <w:pPr>
              <w:pStyle w:val="NoSpacing"/>
              <w:rPr>
                <w:rFonts w:cstheme="minorHAnsi"/>
              </w:rPr>
            </w:pPr>
            <w:hyperlink r:id="rId6" w:history="1">
              <w:r w:rsidRPr="00162A36">
                <w:rPr>
                  <w:rStyle w:val="Hyperlink"/>
                  <w:rFonts w:ascii="Calibri" w:eastAsia="Times New Roman" w:hAnsi="Calibri" w:cs="Calibri"/>
                </w:rPr>
                <w:t>HMI 2023</w:t>
              </w:r>
            </w:hyperlink>
            <w:r>
              <w:rPr>
                <w:rFonts w:ascii="Calibri" w:eastAsia="Times New Roman" w:hAnsi="Calibri" w:cs="Calibri"/>
              </w:rPr>
              <w:t>,</w:t>
            </w:r>
            <w:r w:rsidRPr="0007554E">
              <w:rPr>
                <w:rFonts w:ascii="Calibri" w:eastAsia="Times New Roman" w:hAnsi="Calibri" w:cs="Calibri"/>
              </w:rPr>
              <w:t xml:space="preserve"> Hannover</w:t>
            </w:r>
          </w:p>
          <w:p w14:paraId="29D4AAFA" w14:textId="77777777" w:rsidR="006A074B" w:rsidRPr="00CE6F85" w:rsidRDefault="006A074B" w:rsidP="004B7D03">
            <w:pPr>
              <w:pStyle w:val="NoSpacing"/>
              <w:rPr>
                <w:rFonts w:cstheme="minorHAnsi"/>
              </w:rPr>
            </w:pPr>
            <w:hyperlink r:id="rId7" w:history="1">
              <w:r w:rsidRPr="007C02AE">
                <w:rPr>
                  <w:rStyle w:val="Hyperlink"/>
                  <w:rFonts w:ascii="Calibri" w:eastAsia="Times New Roman" w:hAnsi="Calibri" w:cs="Calibri"/>
                </w:rPr>
                <w:t>InfoSecurity Europe</w:t>
              </w:r>
            </w:hyperlink>
            <w:r w:rsidRPr="00417EFF">
              <w:rPr>
                <w:rFonts w:ascii="Calibri" w:eastAsia="Times New Roman" w:hAnsi="Calibri" w:cs="Calibri"/>
              </w:rPr>
              <w:t>, London</w:t>
            </w:r>
          </w:p>
          <w:p w14:paraId="5EB00582" w14:textId="77777777" w:rsidR="006A074B" w:rsidRDefault="006A074B" w:rsidP="004B7D03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Pr="00E37C90">
                <w:rPr>
                  <w:rStyle w:val="Hyperlink"/>
                  <w:rFonts w:ascii="Calibri" w:eastAsia="Times New Roman" w:hAnsi="Calibri" w:cs="Calibri"/>
                </w:rPr>
                <w:t>NAB Show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0465C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D6BD9">
              <w:rPr>
                <w:rFonts w:ascii="Calibri" w:eastAsia="Times New Roman" w:hAnsi="Calibri" w:cs="Calibri"/>
                <w:color w:val="000000"/>
              </w:rPr>
              <w:t>Las Vegas</w:t>
            </w:r>
          </w:p>
          <w:p w14:paraId="21D035C4" w14:textId="77777777" w:rsidR="006A074B" w:rsidRPr="00880112" w:rsidRDefault="006A074B" w:rsidP="004B7D03">
            <w:pPr>
              <w:pStyle w:val="NoSpacing"/>
              <w:rPr>
                <w:rFonts w:cstheme="minorHAnsi"/>
              </w:rPr>
            </w:pPr>
            <w:hyperlink r:id="rId9" w:history="1">
              <w:r w:rsidRPr="00CA77A3">
                <w:rPr>
                  <w:rStyle w:val="Hyperlink"/>
                  <w:rFonts w:ascii="Calibri" w:eastAsia="Times New Roman" w:hAnsi="Calibri" w:cs="Calibri"/>
                </w:rPr>
                <w:t>Retail Technology</w:t>
              </w:r>
            </w:hyperlink>
            <w:r>
              <w:rPr>
                <w:rFonts w:ascii="Calibri" w:eastAsia="Times New Roman" w:hAnsi="Calibri" w:cs="Calibri"/>
              </w:rPr>
              <w:t>,</w:t>
            </w:r>
            <w:r w:rsidRPr="00A52A87">
              <w:rPr>
                <w:rFonts w:ascii="Calibri" w:eastAsia="Times New Roman" w:hAnsi="Calibri" w:cs="Calibri"/>
              </w:rPr>
              <w:t xml:space="preserve"> London</w:t>
            </w:r>
          </w:p>
          <w:p w14:paraId="4BAB60CA" w14:textId="77777777" w:rsidR="006A074B" w:rsidRPr="00CE6F85" w:rsidRDefault="006A074B" w:rsidP="004B7D03">
            <w:pPr>
              <w:pStyle w:val="NoSpacing"/>
              <w:rPr>
                <w:rFonts w:cstheme="minorHAnsi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 w:cs="Calibri"/>
                </w:rPr>
                <w:t>RS</w:t>
              </w:r>
              <w:r w:rsidRPr="0007554E">
                <w:rPr>
                  <w:rStyle w:val="Hyperlink"/>
                  <w:rFonts w:ascii="Calibri" w:eastAsia="Times New Roman" w:hAnsi="Calibri" w:cs="Calibri"/>
                </w:rPr>
                <w:t xml:space="preserve">A </w:t>
              </w:r>
              <w:r>
                <w:rPr>
                  <w:rStyle w:val="Hyperlink"/>
                  <w:rFonts w:ascii="Calibri" w:eastAsia="Times New Roman" w:hAnsi="Calibri" w:cs="Calibri"/>
                </w:rPr>
                <w:t>2</w:t>
              </w:r>
              <w:r>
                <w:rPr>
                  <w:rStyle w:val="Hyperlink"/>
                </w:rPr>
                <w:t>023</w:t>
              </w:r>
            </w:hyperlink>
            <w:r w:rsidRPr="00A52A87">
              <w:rPr>
                <w:rFonts w:ascii="Calibri" w:eastAsia="Times New Roman" w:hAnsi="Calibri" w:cs="Calibri"/>
              </w:rPr>
              <w:t>, San Francisco</w:t>
            </w:r>
          </w:p>
          <w:p w14:paraId="755B57C7" w14:textId="578F2BB5" w:rsidR="008C38B4" w:rsidRPr="00B012AB" w:rsidRDefault="004B7D03" w:rsidP="001F222A">
            <w:pPr>
              <w:pStyle w:val="NoSpacing"/>
              <w:rPr>
                <w:rFonts w:cstheme="minorHAnsi"/>
              </w:rPr>
            </w:pPr>
            <w:hyperlink r:id="rId11" w:history="1">
              <w:r w:rsidRPr="00257B62">
                <w:rPr>
                  <w:rStyle w:val="Hyperlink"/>
                  <w:rFonts w:ascii="Calibri" w:eastAsia="Times New Roman" w:hAnsi="Calibri" w:cs="Calibri"/>
                </w:rPr>
                <w:t>Directions Asia</w:t>
              </w:r>
            </w:hyperlink>
            <w:r w:rsidRPr="00417EFF">
              <w:rPr>
                <w:rFonts w:ascii="Calibri" w:eastAsia="Times New Roman" w:hAnsi="Calibri" w:cs="Calibri"/>
              </w:rPr>
              <w:t>, Bangkok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37330" w14:textId="7B7CE86F" w:rsidR="006049F2" w:rsidRPr="00B012AB" w:rsidRDefault="00000000" w:rsidP="006049F2">
            <w:pPr>
              <w:rPr>
                <w:rFonts w:asciiTheme="minorHAnsi" w:hAnsiTheme="minorHAnsi" w:cstheme="minorHAnsi"/>
              </w:rPr>
            </w:pPr>
            <w:hyperlink r:id="rId12" w:history="1">
              <w:r w:rsidR="00690E77" w:rsidRPr="003048EA">
                <w:rPr>
                  <w:rStyle w:val="Hyperlink"/>
                  <w:rFonts w:asciiTheme="minorHAnsi" w:hAnsiTheme="minorHAnsi" w:cstheme="minorHAnsi"/>
                </w:rPr>
                <w:t xml:space="preserve">Microsoft </w:t>
              </w:r>
              <w:r w:rsidR="00DF1FE2" w:rsidRPr="003048EA">
                <w:rPr>
                  <w:rStyle w:val="Hyperlink"/>
                  <w:rFonts w:asciiTheme="minorHAnsi" w:hAnsiTheme="minorHAnsi" w:cstheme="minorHAnsi"/>
                </w:rPr>
                <w:t>Inspire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2A65C" w14:textId="7E896687" w:rsidR="009D1426" w:rsidRDefault="009D1426" w:rsidP="006049F2">
            <w:pPr>
              <w:rPr>
                <w:rFonts w:asciiTheme="minorHAnsi" w:hAnsiTheme="minorHAnsi" w:cstheme="minorHAnsi"/>
              </w:rPr>
            </w:pPr>
            <w:hyperlink r:id="rId13" w:history="1">
              <w:r w:rsidRPr="003048EA">
                <w:rPr>
                  <w:rStyle w:val="Hyperlink"/>
                  <w:rFonts w:asciiTheme="minorHAnsi" w:hAnsiTheme="minorHAnsi" w:cstheme="minorHAnsi"/>
                </w:rPr>
                <w:t>Community Summit</w:t>
              </w:r>
            </w:hyperlink>
            <w:r w:rsidR="001F222A" w:rsidRPr="00630DB3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, Orlando</w:t>
            </w:r>
          </w:p>
          <w:p w14:paraId="2E64E0EE" w14:textId="77777777" w:rsidR="009D1426" w:rsidRDefault="009D1426" w:rsidP="006049F2">
            <w:pPr>
              <w:rPr>
                <w:rFonts w:asciiTheme="minorHAnsi" w:hAnsiTheme="minorHAnsi" w:cstheme="minorHAnsi"/>
              </w:rPr>
            </w:pPr>
            <w:hyperlink r:id="rId14" w:history="1">
              <w:r w:rsidRPr="003048EA">
                <w:rPr>
                  <w:rStyle w:val="Hyperlink"/>
                  <w:rFonts w:asciiTheme="minorHAnsi" w:hAnsiTheme="minorHAnsi" w:cstheme="minorHAnsi"/>
                </w:rPr>
                <w:t>Directions EMEA</w:t>
              </w:r>
              <w:r w:rsidRPr="00630DB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, Hamburg</w:t>
              </w:r>
            </w:hyperlink>
          </w:p>
          <w:p w14:paraId="6F15C534" w14:textId="77777777" w:rsidR="009D1426" w:rsidRPr="00B012AB" w:rsidRDefault="009D1426" w:rsidP="006049F2">
            <w:pPr>
              <w:rPr>
                <w:rFonts w:asciiTheme="minorHAnsi" w:hAnsiTheme="minorHAnsi" w:cstheme="minorHAnsi"/>
              </w:rPr>
            </w:pPr>
            <w:hyperlink r:id="rId15" w:history="1">
              <w:r w:rsidRPr="003048EA">
                <w:rPr>
                  <w:rStyle w:val="Hyperlink"/>
                  <w:rFonts w:asciiTheme="minorHAnsi" w:hAnsiTheme="minorHAnsi" w:cstheme="minorHAnsi"/>
                </w:rPr>
                <w:t>IBC</w:t>
              </w:r>
              <w:r w:rsidRPr="00630DB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, Amsterdam</w:t>
              </w:r>
            </w:hyperlink>
          </w:p>
          <w:p w14:paraId="313B4551" w14:textId="77777777" w:rsidR="009D1426" w:rsidRDefault="009D1426" w:rsidP="006049F2">
            <w:pPr>
              <w:rPr>
                <w:rFonts w:asciiTheme="minorHAnsi" w:hAnsiTheme="minorHAnsi" w:cstheme="minorHAnsi"/>
              </w:rPr>
            </w:pPr>
            <w:hyperlink r:id="rId16" w:history="1">
              <w:r w:rsidRPr="003048EA">
                <w:rPr>
                  <w:rStyle w:val="Hyperlink"/>
                  <w:rFonts w:asciiTheme="minorHAnsi" w:hAnsiTheme="minorHAnsi" w:cstheme="minorHAnsi"/>
                </w:rPr>
                <w:t>SCEWC</w:t>
              </w:r>
              <w:r w:rsidRPr="00630DB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, Barcelona</w:t>
              </w:r>
            </w:hyperlink>
          </w:p>
          <w:p w14:paraId="49DEFDC8" w14:textId="77777777" w:rsidR="009D1426" w:rsidRDefault="009D1426" w:rsidP="006049F2">
            <w:pPr>
              <w:rPr>
                <w:rFonts w:asciiTheme="minorHAnsi" w:hAnsiTheme="minorHAnsi" w:cstheme="minorHAnsi"/>
              </w:rPr>
            </w:pPr>
            <w:hyperlink r:id="rId17" w:history="1">
              <w:r w:rsidRPr="003048EA">
                <w:rPr>
                  <w:rStyle w:val="Hyperlink"/>
                  <w:rFonts w:asciiTheme="minorHAnsi" w:hAnsiTheme="minorHAnsi" w:cstheme="minorHAnsi"/>
                </w:rPr>
                <w:t>Sibos</w:t>
              </w:r>
              <w:r w:rsidRPr="00630DB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, Amsterdam</w:t>
              </w:r>
            </w:hyperlink>
          </w:p>
          <w:p w14:paraId="52A6E90E" w14:textId="541526F3" w:rsidR="00B012AB" w:rsidRPr="00B012AB" w:rsidRDefault="00B012AB" w:rsidP="006049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79826" w14:textId="36A670D3" w:rsidR="006049F2" w:rsidRPr="00B012AB" w:rsidRDefault="00000000" w:rsidP="003048EA">
            <w:pPr>
              <w:rPr>
                <w:rFonts w:asciiTheme="minorHAnsi" w:hAnsiTheme="minorHAnsi" w:cstheme="minorHAnsi"/>
              </w:rPr>
            </w:pPr>
            <w:hyperlink r:id="rId18" w:history="1">
              <w:r w:rsidR="005E269E" w:rsidRPr="003048EA">
                <w:rPr>
                  <w:rStyle w:val="Hyperlink"/>
                  <w:rFonts w:asciiTheme="minorHAnsi" w:hAnsiTheme="minorHAnsi" w:cstheme="minorHAnsi"/>
                </w:rPr>
                <w:t>NRF</w:t>
              </w:r>
              <w:r w:rsidR="005E269E" w:rsidRPr="00630DB3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, New York</w:t>
              </w:r>
            </w:hyperlink>
          </w:p>
        </w:tc>
      </w:tr>
    </w:tbl>
    <w:p w14:paraId="0EAC83E8" w14:textId="77777777" w:rsidR="00AB072D" w:rsidRPr="000B5848" w:rsidRDefault="00AB072D" w:rsidP="00946AC7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2CA5A197" w14:textId="48C02732" w:rsidR="0088244B" w:rsidRPr="00B012AB" w:rsidRDefault="007B5A96" w:rsidP="00946AC7">
      <w:pPr>
        <w:rPr>
          <w:rFonts w:asciiTheme="minorHAnsi" w:hAnsiTheme="minorHAnsi" w:cstheme="minorHAnsi"/>
        </w:rPr>
      </w:pPr>
      <w:r w:rsidRPr="00B012AB">
        <w:rPr>
          <w:rFonts w:asciiTheme="minorHAnsi" w:hAnsiTheme="minorHAnsi" w:cstheme="minorHAnsi"/>
          <w:b/>
          <w:bCs/>
        </w:rPr>
        <w:t>Executive editor:</w:t>
      </w:r>
      <w:r w:rsidRPr="00B012AB">
        <w:rPr>
          <w:rFonts w:asciiTheme="minorHAnsi" w:hAnsiTheme="minorHAnsi" w:cstheme="minorHAnsi"/>
        </w:rPr>
        <w:t xml:space="preserve"> Andy Clayton-Smith. Email: </w:t>
      </w:r>
      <w:hyperlink r:id="rId19" w:history="1">
        <w:r w:rsidRPr="00B012AB">
          <w:rPr>
            <w:rStyle w:val="Hyperlink"/>
            <w:rFonts w:asciiTheme="minorHAnsi" w:hAnsiTheme="minorHAnsi" w:cstheme="minorHAnsi"/>
          </w:rPr>
          <w:t>andy@technologyrecord.com</w:t>
        </w:r>
      </w:hyperlink>
    </w:p>
    <w:p w14:paraId="7BA22340" w14:textId="0AED9175" w:rsidR="007B5A96" w:rsidRPr="00B012AB" w:rsidRDefault="007B5A96" w:rsidP="00946AC7">
      <w:pPr>
        <w:rPr>
          <w:rFonts w:asciiTheme="minorHAnsi" w:hAnsiTheme="minorHAnsi" w:cstheme="minorHAnsi"/>
        </w:rPr>
      </w:pPr>
      <w:r w:rsidRPr="00B012AB">
        <w:rPr>
          <w:rFonts w:asciiTheme="minorHAnsi" w:hAnsiTheme="minorHAnsi" w:cstheme="minorHAnsi"/>
          <w:b/>
          <w:bCs/>
        </w:rPr>
        <w:t xml:space="preserve">Production editor: </w:t>
      </w:r>
      <w:r w:rsidRPr="00B012AB">
        <w:rPr>
          <w:rFonts w:asciiTheme="minorHAnsi" w:hAnsiTheme="minorHAnsi" w:cstheme="minorHAnsi"/>
        </w:rPr>
        <w:t xml:space="preserve">Elly Yates-Roberts. Email: </w:t>
      </w:r>
      <w:hyperlink r:id="rId20" w:history="1">
        <w:r w:rsidRPr="00B012AB">
          <w:rPr>
            <w:rStyle w:val="Hyperlink"/>
            <w:rFonts w:asciiTheme="minorHAnsi" w:hAnsiTheme="minorHAnsi" w:cstheme="minorHAnsi"/>
          </w:rPr>
          <w:t>elly.yates-roberts@technologyrecord.com</w:t>
        </w:r>
      </w:hyperlink>
    </w:p>
    <w:sectPr w:rsidR="007B5A96" w:rsidRPr="00B012AB" w:rsidSect="000B5848">
      <w:pgSz w:w="16838" w:h="11906" w:orient="landscape" w:code="9"/>
      <w:pgMar w:top="426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E1F"/>
    <w:multiLevelType w:val="hybridMultilevel"/>
    <w:tmpl w:val="BB02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24D"/>
    <w:multiLevelType w:val="multilevel"/>
    <w:tmpl w:val="588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90237"/>
    <w:multiLevelType w:val="hybridMultilevel"/>
    <w:tmpl w:val="305E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24F35"/>
    <w:multiLevelType w:val="hybridMultilevel"/>
    <w:tmpl w:val="3F4C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F08E0"/>
    <w:multiLevelType w:val="multilevel"/>
    <w:tmpl w:val="7540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D3914"/>
    <w:multiLevelType w:val="hybridMultilevel"/>
    <w:tmpl w:val="84AC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F3129"/>
    <w:multiLevelType w:val="hybridMultilevel"/>
    <w:tmpl w:val="9E96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47954">
    <w:abstractNumId w:val="3"/>
  </w:num>
  <w:num w:numId="2" w16cid:durableId="1583561670">
    <w:abstractNumId w:val="5"/>
  </w:num>
  <w:num w:numId="3" w16cid:durableId="691108154">
    <w:abstractNumId w:val="0"/>
  </w:num>
  <w:num w:numId="4" w16cid:durableId="802115233">
    <w:abstractNumId w:val="2"/>
  </w:num>
  <w:num w:numId="5" w16cid:durableId="2083290145">
    <w:abstractNumId w:val="1"/>
  </w:num>
  <w:num w:numId="6" w16cid:durableId="226571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2778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0C"/>
    <w:rsid w:val="00012CEA"/>
    <w:rsid w:val="00017850"/>
    <w:rsid w:val="00041437"/>
    <w:rsid w:val="00044178"/>
    <w:rsid w:val="00057B7D"/>
    <w:rsid w:val="000612B7"/>
    <w:rsid w:val="0006491F"/>
    <w:rsid w:val="000968DC"/>
    <w:rsid w:val="000A17E6"/>
    <w:rsid w:val="000B5848"/>
    <w:rsid w:val="000C3AA3"/>
    <w:rsid w:val="000D5C29"/>
    <w:rsid w:val="000F3BDB"/>
    <w:rsid w:val="0011472D"/>
    <w:rsid w:val="00126286"/>
    <w:rsid w:val="001431C4"/>
    <w:rsid w:val="00143B25"/>
    <w:rsid w:val="0014424E"/>
    <w:rsid w:val="00147EFA"/>
    <w:rsid w:val="00163E98"/>
    <w:rsid w:val="00196C23"/>
    <w:rsid w:val="00196FC6"/>
    <w:rsid w:val="001B040C"/>
    <w:rsid w:val="001B3086"/>
    <w:rsid w:val="001C1316"/>
    <w:rsid w:val="001F222A"/>
    <w:rsid w:val="001F7D93"/>
    <w:rsid w:val="00212D07"/>
    <w:rsid w:val="00220FFD"/>
    <w:rsid w:val="00243BE9"/>
    <w:rsid w:val="00293346"/>
    <w:rsid w:val="00294C2A"/>
    <w:rsid w:val="002A4414"/>
    <w:rsid w:val="002C0013"/>
    <w:rsid w:val="002C0673"/>
    <w:rsid w:val="003048EA"/>
    <w:rsid w:val="003059C1"/>
    <w:rsid w:val="00321DFC"/>
    <w:rsid w:val="0033461F"/>
    <w:rsid w:val="00396C98"/>
    <w:rsid w:val="00397F98"/>
    <w:rsid w:val="003A0AFF"/>
    <w:rsid w:val="003A1681"/>
    <w:rsid w:val="003A5584"/>
    <w:rsid w:val="00412390"/>
    <w:rsid w:val="00490943"/>
    <w:rsid w:val="004B210E"/>
    <w:rsid w:val="004B28A4"/>
    <w:rsid w:val="004B5EE3"/>
    <w:rsid w:val="004B7D03"/>
    <w:rsid w:val="004C2720"/>
    <w:rsid w:val="004C7387"/>
    <w:rsid w:val="004E23F6"/>
    <w:rsid w:val="004E3C5D"/>
    <w:rsid w:val="00502E32"/>
    <w:rsid w:val="00506BEA"/>
    <w:rsid w:val="005101F7"/>
    <w:rsid w:val="0052717B"/>
    <w:rsid w:val="00543963"/>
    <w:rsid w:val="00554C91"/>
    <w:rsid w:val="00556B0F"/>
    <w:rsid w:val="00575F3D"/>
    <w:rsid w:val="005901DC"/>
    <w:rsid w:val="00597CDE"/>
    <w:rsid w:val="005C4212"/>
    <w:rsid w:val="005C7D58"/>
    <w:rsid w:val="005D373F"/>
    <w:rsid w:val="005D46D7"/>
    <w:rsid w:val="005E269E"/>
    <w:rsid w:val="005F5822"/>
    <w:rsid w:val="006049F2"/>
    <w:rsid w:val="0062649B"/>
    <w:rsid w:val="00630DB3"/>
    <w:rsid w:val="00632B00"/>
    <w:rsid w:val="006367E9"/>
    <w:rsid w:val="00642562"/>
    <w:rsid w:val="00666192"/>
    <w:rsid w:val="00690E77"/>
    <w:rsid w:val="00690FF0"/>
    <w:rsid w:val="006A074B"/>
    <w:rsid w:val="006A26C6"/>
    <w:rsid w:val="006A4D97"/>
    <w:rsid w:val="006A6AD4"/>
    <w:rsid w:val="006D7FEE"/>
    <w:rsid w:val="006E2837"/>
    <w:rsid w:val="006E5C0B"/>
    <w:rsid w:val="00722AF5"/>
    <w:rsid w:val="007253D2"/>
    <w:rsid w:val="00747FB2"/>
    <w:rsid w:val="00783CD2"/>
    <w:rsid w:val="007A1BD4"/>
    <w:rsid w:val="007B5A96"/>
    <w:rsid w:val="007E28AC"/>
    <w:rsid w:val="007F1EE5"/>
    <w:rsid w:val="0081718F"/>
    <w:rsid w:val="00817503"/>
    <w:rsid w:val="00832A81"/>
    <w:rsid w:val="00845179"/>
    <w:rsid w:val="0087570A"/>
    <w:rsid w:val="0088244B"/>
    <w:rsid w:val="008C38B4"/>
    <w:rsid w:val="008F6867"/>
    <w:rsid w:val="009143CF"/>
    <w:rsid w:val="00920B8B"/>
    <w:rsid w:val="009332C9"/>
    <w:rsid w:val="00946AC7"/>
    <w:rsid w:val="009554A4"/>
    <w:rsid w:val="00970774"/>
    <w:rsid w:val="00971ED0"/>
    <w:rsid w:val="00977083"/>
    <w:rsid w:val="00977BAA"/>
    <w:rsid w:val="009A0368"/>
    <w:rsid w:val="009A78A8"/>
    <w:rsid w:val="009B05D4"/>
    <w:rsid w:val="009B4AAB"/>
    <w:rsid w:val="009C212C"/>
    <w:rsid w:val="009C40AD"/>
    <w:rsid w:val="009C6627"/>
    <w:rsid w:val="009D1426"/>
    <w:rsid w:val="009F1B89"/>
    <w:rsid w:val="009F76F5"/>
    <w:rsid w:val="00A2212E"/>
    <w:rsid w:val="00A303FC"/>
    <w:rsid w:val="00A35C6E"/>
    <w:rsid w:val="00A402F4"/>
    <w:rsid w:val="00A4062F"/>
    <w:rsid w:val="00A4400E"/>
    <w:rsid w:val="00A80116"/>
    <w:rsid w:val="00A85053"/>
    <w:rsid w:val="00A96A51"/>
    <w:rsid w:val="00AB072D"/>
    <w:rsid w:val="00AB49C8"/>
    <w:rsid w:val="00B012AB"/>
    <w:rsid w:val="00B03EB6"/>
    <w:rsid w:val="00B20B09"/>
    <w:rsid w:val="00B222D0"/>
    <w:rsid w:val="00B75272"/>
    <w:rsid w:val="00BA4860"/>
    <w:rsid w:val="00BB14FA"/>
    <w:rsid w:val="00BF0DC3"/>
    <w:rsid w:val="00C107E0"/>
    <w:rsid w:val="00C1283D"/>
    <w:rsid w:val="00C152E7"/>
    <w:rsid w:val="00C338C4"/>
    <w:rsid w:val="00C5663B"/>
    <w:rsid w:val="00C566C3"/>
    <w:rsid w:val="00C61614"/>
    <w:rsid w:val="00C70725"/>
    <w:rsid w:val="00C73883"/>
    <w:rsid w:val="00C864C6"/>
    <w:rsid w:val="00C902E8"/>
    <w:rsid w:val="00CA122B"/>
    <w:rsid w:val="00CB596D"/>
    <w:rsid w:val="00CC121F"/>
    <w:rsid w:val="00CC1B21"/>
    <w:rsid w:val="00CE2BB9"/>
    <w:rsid w:val="00CF40C4"/>
    <w:rsid w:val="00CF6029"/>
    <w:rsid w:val="00D202E2"/>
    <w:rsid w:val="00D257A3"/>
    <w:rsid w:val="00D263FD"/>
    <w:rsid w:val="00D3091B"/>
    <w:rsid w:val="00D36847"/>
    <w:rsid w:val="00D536FC"/>
    <w:rsid w:val="00D811F1"/>
    <w:rsid w:val="00DB00CD"/>
    <w:rsid w:val="00DB11FF"/>
    <w:rsid w:val="00DB79DF"/>
    <w:rsid w:val="00DE2F2D"/>
    <w:rsid w:val="00DF1FE2"/>
    <w:rsid w:val="00E41979"/>
    <w:rsid w:val="00E46813"/>
    <w:rsid w:val="00E902B0"/>
    <w:rsid w:val="00EA1EAB"/>
    <w:rsid w:val="00EA53B0"/>
    <w:rsid w:val="00EA5FDE"/>
    <w:rsid w:val="00ED17B5"/>
    <w:rsid w:val="00F07A81"/>
    <w:rsid w:val="00F16234"/>
    <w:rsid w:val="00F2152D"/>
    <w:rsid w:val="00F3734E"/>
    <w:rsid w:val="00F42AC0"/>
    <w:rsid w:val="00F76A2F"/>
    <w:rsid w:val="00F82830"/>
    <w:rsid w:val="00FA2C41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15F8"/>
  <w15:docId w15:val="{3B3E6230-6C6C-47C4-82B3-467C3C4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40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0C"/>
    <w:pPr>
      <w:spacing w:after="200" w:line="276" w:lineRule="auto"/>
      <w:ind w:left="720"/>
      <w:contextualSpacing/>
    </w:pPr>
  </w:style>
  <w:style w:type="character" w:customStyle="1" w:styleId="edn474articlelistwrapper">
    <w:name w:val="edn_474_article_list_wrapper"/>
    <w:basedOn w:val="DefaultParagraphFont"/>
    <w:rsid w:val="001B040C"/>
  </w:style>
  <w:style w:type="character" w:styleId="Hyperlink">
    <w:name w:val="Hyperlink"/>
    <w:basedOn w:val="DefaultParagraphFont"/>
    <w:uiPriority w:val="99"/>
    <w:unhideWhenUsed/>
    <w:rsid w:val="00057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02B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902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0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6049F2"/>
    <w:pPr>
      <w:ind w:left="720"/>
    </w:pPr>
    <w:rPr>
      <w:rFonts w:cs="Calibri"/>
      <w:lang w:eastAsia="en-GB"/>
    </w:rPr>
  </w:style>
  <w:style w:type="paragraph" w:styleId="NoSpacing">
    <w:name w:val="No Spacing"/>
    <w:uiPriority w:val="1"/>
    <w:qFormat/>
    <w:rsid w:val="0029334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show.com/2023/" TargetMode="External"/><Relationship Id="rId13" Type="http://schemas.openxmlformats.org/officeDocument/2006/relationships/hyperlink" Target="https://www.summitna.com/" TargetMode="External"/><Relationship Id="rId18" Type="http://schemas.openxmlformats.org/officeDocument/2006/relationships/hyperlink" Target="https://nrfbigshow.nrf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fosecurityeurope.com/" TargetMode="External"/><Relationship Id="rId12" Type="http://schemas.openxmlformats.org/officeDocument/2006/relationships/hyperlink" Target="https://inspire.microsoft.com/en-US/home" TargetMode="External"/><Relationship Id="rId17" Type="http://schemas.openxmlformats.org/officeDocument/2006/relationships/hyperlink" Target="https://www.sibos.com/about-sibos/future-sib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artcityexpo.com/" TargetMode="External"/><Relationship Id="rId20" Type="http://schemas.openxmlformats.org/officeDocument/2006/relationships/hyperlink" Target="mailto:elly.yates-roberts@technologyrecor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nnovermesse.de/en/" TargetMode="External"/><Relationship Id="rId11" Type="http://schemas.openxmlformats.org/officeDocument/2006/relationships/hyperlink" Target="https://directions4partners.com/events/directions-asia-202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how.ibc.org/" TargetMode="External"/><Relationship Id="rId10" Type="http://schemas.openxmlformats.org/officeDocument/2006/relationships/hyperlink" Target="https://www.rsaconference.com/" TargetMode="External"/><Relationship Id="rId19" Type="http://schemas.openxmlformats.org/officeDocument/2006/relationships/hyperlink" Target="mailto:andy@technologyrec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ailtechnologyshow.com/" TargetMode="External"/><Relationship Id="rId14" Type="http://schemas.openxmlformats.org/officeDocument/2006/relationships/hyperlink" Target="https://directions4partners.com/events/directions-emea-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Ingleton</dc:creator>
  <cp:lastModifiedBy>Andy Clayton-Smith</cp:lastModifiedBy>
  <cp:revision>24</cp:revision>
  <cp:lastPrinted>2021-12-01T14:16:00Z</cp:lastPrinted>
  <dcterms:created xsi:type="dcterms:W3CDTF">2021-12-13T09:23:00Z</dcterms:created>
  <dcterms:modified xsi:type="dcterms:W3CDTF">2022-11-17T15:48:00Z</dcterms:modified>
</cp:coreProperties>
</file>